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ATAS/804/2014 vom 27. Juni 2014</w:t>
      </w:r>
    </w:p>
    <w:p>
      <w:r>
        <w:t>GE Cour de justice, 2014-06-27, FR</w:t>
      </w:r>
    </w:p>
    <w:p>
      <w:r>
        <w:rPr>
          <w:b/>
        </w:rPr>
        <w:t xml:space="preserve">Quelle: </w:t>
      </w:r>
      <w:r>
        <w:t>https://mcp.opencaselaw.ch/entscheid/ge_gerichte_ATAS_804_2014</w:t>
      </w:r>
    </w:p>
    <w:p>
      <w:r>
        <w:t>FR: GE_GERICHTE ATAS/804/2014 du 27 juin 2014</w:t>
      </w:r>
    </w:p>
    <w:p>
      <w:r>
        <w:t>IT: GE_GERICHTE ATAS/804/2014 del 27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t>A/4016/2013 - 6/9 -</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b) S’agissant des prestations complémentaires cantonales, l’art. 43 LPCC ouvre les mêmes voies de droit. c) En l’espèce, le recours a été déposé dans les forme et délai imposés par la loi, de sorte qu’il est recevable.</w:t>
      </w:r>
    </w:p>
    <w:p>
      <w:r>
        <w:rPr>
          <w:b/>
        </w:rPr>
        <w:t>E. 3</w:t>
      </w:r>
    </w:p>
    <w:p>
      <w:r>
        <w:t>Est litigieuse la question de savoir si la recourante peut bénéficier d'une remise de l'obligation de restituer les prestations qui lui ont été allouées à tort.</w:t>
      </w:r>
    </w:p>
    <w:p>
      <w:r>
        <w:rPr>
          <w:b/>
        </w:rPr>
        <w:t>E. 4</w:t>
      </w:r>
    </w:p>
    <w:p>
      <w:r>
        <w:t>a) Aux termes des art. 25 al. 1 LPGA (s’agissant des prestations fédérales) et 24 al. 1 LPCC (s’agissant des prestations cantonales), les prestations indûment touchées doivent être restituées.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w:t>
      </w:r>
    </w:p>
    <w:p>
      <w:r>
        <w:t>A/4016/2013 - 7/9 -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 vieillesse, survivants et invalidité; art. 11 LPCC).</w:t>
      </w:r>
    </w:p>
    <w:p>
      <w:r>
        <w:rPr>
          <w:b/>
        </w:rPr>
        <w:t>E. 5</w:t>
      </w:r>
    </w:p>
    <w:p>
      <w:r>
        <w:t>En l'espèce, il a été établi par les autorités pénales et il est incontestable que la recourante n'a jamais informé l'intimé du fait qu’elle travaillait alors même que des prestations lui étaient servies. Peu importe à cet égard qu’elle ait effectivement disposé personnellement de ces prestations ou qu’elle les ait abandonnées à son ex- époux, comme elle le soutient. Il n’en demeure pas moins qu’elle savait que des prestations étaient versées pour elle, puisqu’elle a contribué au dépôt de la demande de prestations de couple, en 1994. Certes, la preuve que les courriers de l’intimé lui soient bel et bien parvenus n’a pas été apportée. Quoi qu’il en soit, l’obligation de renseigner est rappelée en bonne et due forme dans le formulaire de demande de prestations que la recourante a signé en 1994. Elle ne pouvait donc ignorer les devoirs qui lui incombaient et, à ce titre, une négligence peut lui être reprochée. Reste à qualifier la gravité de cette faute. En effet, selon la jurisprudence, la bonne foi d'un assuré peut être reconnue lorsque l'acte ou l'omission fautif ne constitue qu'une violation légère de l'obligation d'annoncer ou de renseigner. En l’espèce, il convient donc d’examiner si la nécessité d’annoncer l’exercice d’une activité lucrative et une séparation de couple devait ou non apparaître évidente à la recourante. Tel n’est pas forcément le cas pour l’exercice d’une activité lucrative au vu des circonstances très particulières. Ainsi que l’ont relevé les autorités pénales, la recourante et son ex-époux ont touché sans discontinuer des prestations pendant près de 15 ans sans qu’aucun prestataire social ne se préoccupe de leur situation ni ne procède à des vérifications, si bien qu’ils ont été confortés dans l’idée qu’ils avaient droit à ces prestations sociales du simple fait du trouble mental de M. B______, alors même qu’ils exerçaient une activité lucrative parallèle. En revanche, si l’on considère la situation sous cet angle, la recourante, pensant que des prestations étaient versées en son nom en raison de l’affection de son ex-époux, aurait dû à tout le moins annoncer sa séparation d’avec ce dernier en 2000. Au lieu de cela, elle s’est désintéressée du sort des prestations reçues par son ex-époux en son nom et a totalement négligé d’informer les autorités - sociales ou administratives - de son changement de situation. Ce manquement doit être qualifié</w:t>
      </w:r>
    </w:p>
    <w:p>
      <w:r>
        <w:t>A/4016/2013 - 8/9 - de négligence grave. A cet égard, le fait que l’assurée ait souffert de dépression ne lui est d’aucun secours puisqu’il n’est pas allégué que ce trouble aurait été tel qu’il l’aurait privée de toute capacité de discernement. Il suit de tout ce qui précède que la recourante ne peut exciper, dans le cas d’espèce, de sa bonne foi. Partant, il est superfétatoire d’examiner si la condition de la charge trop lourde est réalisée. En conséquence, le recours est rejeté.</w:t>
      </w:r>
    </w:p>
    <w:p>
      <w:r>
        <w:t>A/4016/2013 - 9/9 -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