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ATAS/803/2023 vom 23. Oktober 2023</w:t>
      </w:r>
    </w:p>
    <w:p>
      <w:r>
        <w:t>GE Cour de justice, 2023-10-23, FR</w:t>
      </w:r>
    </w:p>
    <w:p>
      <w:r>
        <w:rPr>
          <w:b/>
        </w:rPr>
        <w:t xml:space="preserve">Quelle: </w:t>
      </w:r>
      <w:r>
        <w:t>https://mcp.opencaselaw.ch/entscheid/ge_gerichte_ATAS_803_2023</w:t>
      </w:r>
    </w:p>
    <w:p>
      <w:r>
        <w:t>FR: GE_GERICHTE ATAS/803/2023 du 23 octobre 2023</w:t>
      </w:r>
    </w:p>
    <w:p>
      <w:r>
        <w:t>IT: GE_GERICHTE ATAS/803/2023 del 23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La compétence de la chambre de céans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au moment déterminant.</w:t>
      </w:r>
    </w:p>
    <w:p>
      <w:r>
        <w:rPr>
          <w:b/>
        </w:rPr>
        <w:t>E. 5</w:t>
      </w:r>
    </w:p>
    <w:p>
      <w:r>
        <w:t>Le délai de recours est de trente jours (art. 56ss LPGA ; art. 62 al. 1 de la de loi sur la procédure administrative du 12 septembre 1985 [LPA - E 5 10]). Selon l’art. 38 LPGA, si le délai, compté par jours ou par mois, doit être communiqué aux parties, il commence à courir le lendemain de la communication (al. 1). Les délais en jours ou en mois fixés par la loi ou par l’autorité ne courent pas du 18 décembre au 2 janvier inclusivement (al. 4 let. c). Interjeté dans la forme et le délai prévus par la loi, le recours du 18 janvier 2022 contre la décision sur opposition du 23 novembre 2021, notifiée le 3 décembre 2021, est recevable.</w:t>
      </w:r>
    </w:p>
    <w:p>
      <w:r>
        <w:t>A/190/2022 - 7/18 -</w:t>
      </w:r>
    </w:p>
    <w:p>
      <w:r>
        <w:rPr>
          <w:b/>
        </w:rPr>
        <w:t>E. 6</w:t>
      </w:r>
    </w:p>
    <w:p>
      <w:r>
        <w:t>Le litige porte sur la question de savoir si la maladie qui a conduit au décès de l'assuré peut être ou pas considérée en tant que maladie professionnelle donnant droit à des prestations de l'assureur accidents.</w:t>
      </w:r>
    </w:p>
    <w:p>
      <w:r>
        <w:rPr>
          <w:b/>
        </w:rPr>
        <w:t>E. 7</w:t>
      </w:r>
    </w:p>
    <w:p>
      <w:r>
        <w:t>Selon l'art. 6 al. 1 LAA, les prestations d'assurance sont allouées en cas d'accident professionnel, d'accident non professionnel et de maladie professionnelle. En vertu des art. 28 et 29 LAA, lorsque l'assuré décède des suites de l'accident, le conjoint survivant a droit à une rente ou à une indemnité en capital, à certaines conditions.</w:t>
      </w:r>
    </w:p>
    <w:p>
      <w:r>
        <w:rPr>
          <w:b/>
        </w:rPr>
        <w:t>E. 7.1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Selon l'art. 9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(al. 3). Aux termes de l’art. 14 de l’ordonnance sur l'assurance-accidents du 20 décembre 1982 (OLAA - RS 832.202), les substances nocives et les maladies dues à certains travaux au sens de l'art. 9 al. 1 LAA sont énumérées à l'annexe. Se fondant sur cette délégation de compétence, le Conseil fédéral a dressé à l'annexe I de l'OLAA la liste des substances nocives, d'une part, et la liste de certaines affections, ainsi que des travaux qui les provoquent, d'autre part. Ces substances et travaux, ainsi que les affections dues à ceux-ci, sont énumérés de manière exhaustive (arrêt du Tribunal fédéral 8C_757/2018 du 28 mars 2019 consid. 4.2 et la référence).</w:t>
      </w:r>
    </w:p>
    <w:p>
      <w:r>
        <w:rPr>
          <w:b/>
        </w:rPr>
        <w:t>E. 7.2.1</w:t>
      </w:r>
    </w:p>
    <w:p>
      <w:r>
        <w:t>La reconnaissance d’une maladie professionnelle suppose un lien de causalité qualifié entre l’influence de l’agent nocif et l’affection. Il ne suffit donc pas que l’agent soit une cause parmi d’autres de celle-ci. C’est pourquoi la seule exposition à une substance nocive ne saurait présumer l’existence d’un lien de causalité entre celle-ci et l’affection, et encore moins établir l’exigence d’une relation prépondérante (arrêts du Tribunal fédéral 8C_155/2020 du 1er avril 2020 et 8C_306/2014 du 27 mars 2015 consid. 5.2).</w:t>
      </w:r>
    </w:p>
    <w:p>
      <w:r>
        <w:t>A/190/2022 - 8/18 - Selon la jurisprudence, l'exigence d'une relation prépondérante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 à l'action de la substance nocive ou du travail indiqué (ATF 119 V 200 consid. 2a et la référence ; arrêt du Tribunal fédéral 8C_306/2014 du 27 mars 2015 consid. 3). La condition d'un lien exclusif ou nettement prépondérant n'est réalisée que si la maladie a été causée à 75% au moins par l'exercice de l'activité professionnelle (ATF 126 V 183 consid. 2b ; ATF 119 V 200 consid. 2b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 RAMA 2000 n° U 408 p. 407 ; arrêt du Tribunal fédéral 8C_73/2017 du 6 juillet 2017 consid. 2.2, publié in : SVR 2017 UV n° 46 p. 158).</w:t>
      </w:r>
    </w:p>
    <w:p>
      <w:r>
        <w:rPr>
          <w:b/>
        </w:rPr>
        <w:t>E. 7.3</w:t>
      </w:r>
    </w:p>
    <w:p>
      <w:r>
        <w:t>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(jusqu'à 40 ans, voire plus, pour les cancers ; SCHÖNBERGER, MEHRTENS, VALENTIN, Arbeitsunfall und Berufskrankheit, Rechtliche und medizinische Grundlagen für Gutachter, Sozialverwaltung, Berater und Gerichte, 7ème éd., Berlin 2003, p. 1167 ; TRIEBIG, KENTNER, SCHIELE, Arbeitsmedizin, Handbuch für Theorie und Praxis, Stuttgart 2003, p. 397 sv.). Le carcinome bronchique est une atteinte répandue même dans une population qui n'a pas été exposée à des poussières d'amiante. L'étiologie est multifactorielle et il n'existe pas de critère clinique ou anatomo-pathologique permettant d'isoler de façon certaine les cas de cancer du poumon dus aux expositions professionnelles à l'amiante (Expertise collective « Effets sur la santé des principaux types d'exposition à l'amiante », réalisée en 1996 sous l'autorité de l'Institut national français de la santé et de la recherche médicale [ci-après : expertise collective Inserm], p. 250 ss, p. 411 ; Consensus report Asbestos, asbestosis and cancer : the Helsinki criteria for diagnosis and attribution, Scandinavian Journal of Work, Environment &amp; Health, 23/1997 [4] p. 311 ss [ci-après : Consensus report Asbestos, asbestosis and cancer]). Dans de tels cas de figure, la jurisprudence admet néanmoins de reconnaître l'origine essentiellement professionnelle d'une maladie lorsque l'on peut considérer, sur la base de données épidémiologiques, que l'exposition professionnelle à la substance nocive entraîne pour les personnes</w:t>
      </w:r>
    </w:p>
    <w:p>
      <w:r>
        <w:t>A/190/2022 - 9/18 - concernées un risque deux fois plus important de contracter la maladie (ATF 133 V 421 consid. 5.1 et les références). À titre d’exemples, le Tribunal fédéral a déjà jugé qu’un carcinome des bronches (cancer du poumon) peut survenir à cause de l'amiante, mais qu’il existe également de nombreuses autres causes possibles. Partant, le diagnostic en tant que tel ne permet pas de répondre de manière fiable à la question de savoir si la maladie a été causée de manière prépondérante par la substance nocive et doit donc être considérée comme une maladie professionnelle. Au contraire, des éléments supplémentaires doivent être pris en compte (cf. arrêt du Tribunal fédéral 8C_762/2008 du 7 mai 2009 consid. 5.2). Ainsi, des conditions plus strictes sont imposées à la preuve de la causalité professionnelle dans le cas de maladies qui surviennent fréquemment même sans exposition à une substance toxique (arrêt du Tribunal fédéral 8C_67/2010 du 8 juin 2010 consid. 4.1).</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A/190/2022 - 10/18 -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w:t>
      </w:r>
    </w:p>
    <w:p>
      <w:r>
        <w:t>Selon l’art. 43 al. 1 LPGA, l’assureur examine les demandes, prend d’office les mesures d’instruction nécessaires et recueille les renseignements dont il a besoin. Les renseignements donnés oralement doivent être consignés par écrit.</w:t>
      </w:r>
    </w:p>
    <w:p>
      <w:r>
        <w:rPr>
          <w:b/>
        </w:rPr>
        <w:t>E. 9.1</w:t>
      </w:r>
    </w:p>
    <w:p>
      <w:r>
        <w:t>Dans le domaine des 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Sous réserve des mesures d’instruction complémentaires induites par la procédure d’opposition, l’assureur doit établir l’état de fait déterminant avant de rendre sa décision ou son préavis et ne peut pas renvoyer cette tâche à la procédure subséquente. Sont considérés comme nécessaires tous les moyens de preuve qui permettent d’établir les faits pertinents pour l’application du droit. Lorsque la mise en œuvre d’un moyen de preuve appelle un certain comportement (actif ou passif) de la part de la personne assurée, il convient par ailleurs d’examiner, conformément au principe de proportionnalité, si ce comportement peut être raisonnablement exigé. L’examen du caractère raisonnablement exigible d’une mesure d’instruction requiert que soit pris en considération l’ensemble des circonstances objectives et subjectives du cas particulier.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À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(Jacques Olivier PIGUET, in Commentaire romand de la LPGA, 2018, n° 9 à 12 ad art. 43 LPGA).</w:t>
      </w:r>
    </w:p>
    <w:p>
      <w:r>
        <w:t>A/190/2022 - 11/18 - Le devoir d'instruction s'étend jusqu'à ce que les faits nécessaires à l'examen des prétentions en cause soient suffisamment élucidés (arrêt du Tribunal fédéral 9C_1012/2008 du 30 juin 2009 consid. 3.2.1 et les références). Selon la jurisprudence, la grande diversité des situations d'expertise exige de la souplesse et l'assureur dispose d'une grande marge d'appréciation en ce qui concerne la nécessité, l'étendue et l'adéquation des investigations médicales (ATF 147 V 79 consid. 7.4.2 et les références).</w:t>
      </w:r>
    </w:p>
    <w:p>
      <w:r>
        <w:rPr>
          <w:b/>
        </w:rPr>
        <w:t>E. 9.2</w:t>
      </w:r>
    </w:p>
    <w:p>
      <w:r>
        <w:t>Le principe inquisitoire s’applique également à l’instruction de demandes qui présentent des éléments d’extranéité. Dans la mesure du possible et du nécessaire, l’assureur doit alors agir en collaboration avec les autorités étrangères compétentes. Les instruments à disposition des autorités suisses leur permettant de recueillir des moyens de preuve situés à l’étranger étant néanmoins limités, il y a lieu de poser des exigences élevées quant à l’obligation de collaborer de la personne assurée (cf. Jacques Olivier PIGUET, op. cit., n° 59 ad Art. 43 LPGA). L’Accord du 21 juin 1999 entre la Confédération suisse, d’une part, et la Communauté européenne et ses États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L’ALCP est notamment applicable aux ressortissants des États membres de la Communauté européenne – et notamment aux ressortissants italiens –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883/2004 du Parlement européen et du Conseil du 29 avril 2004 portant sur la coordination des systèmes de sécurité sociale et le règlement (CE) no 987/2009 du Parlement européen et du Conseil fixant les modalités d’application du règlement (CE) no 883/2004. Ainsi, selon l’art. 82 du Règlement (CE) no 883/2004, les expertises médicales prévues par la législation d’un État membre peuvent être effectuées, à la requête de l’institution compétente, dans un autre État membre, par l’institution du lieu de résidence ou de séjour du demandeur ou du bénéficiaire de prestations, dans les conditions prévues par le règlement d’application ou convenues entre les autorités compétentes des États membres concernés. À teneur de l’art. 87 al. 1 du Règlement (CE) no 987/2009, nonobstant d’autres dispositions, lorsqu’un bénéficiaire ou un demandeur de prestations, ou un membre de sa famille,</w:t>
      </w:r>
    </w:p>
    <w:p>
      <w:r>
        <w:t>A/190/2022 - 12/18 - séjourne ou réside sur le territoire d’un Etat membre autre que celui où se trouve l’institution débitrice, le contrôle médical est effectué, à la demande de cette institution, par l’institution du lieu de séjour ou de résidence du bénéficiaire conformément aux procédures prévues par la législation que cette institution applique. L’institution débitrice communique à l’institution du lieu de séjour ou de résidence toute exigence particulière à respecter, au besoin, ainsi que les points sur lesquels doit porter le contrôle médical. L’alinéa 2 de cette même disposition prévoit également que l’institution du lieu de séjour ou de résidence transmet un rapport à l’institution débitrice qui a demandé le contrôle médical. Cette institution est liée par les constatations faites par l’institution du lieu de séjour ou de résidence.</w:t>
      </w:r>
    </w:p>
    <w:p>
      <w:r>
        <w:rPr>
          <w:b/>
        </w:rPr>
        <w:t>E. 9.3</w:t>
      </w:r>
    </w:p>
    <w:p>
      <w:r>
        <w:t>Le principe inquisitoire n'est pas absolu. Sa portée peut être restreinte par le devoir des parties de collaborer à l'instruction de l'affaire (ATF 138 V 86 consid. 5.2.3).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 arrêts du Tribunal fédéral 8C_693/2020 du 26 juillet 2021 consid. 4.1 et 8C_747/2018 du 20 mars 2019 consid. 2.2). Au surplus, la portée du principe inquisitoire est restreinte lorsque l'assuré est assisté d'un mandataire professionnel (ATF 138 V 86 consid. 5.2.3).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w:t>
      </w:r>
    </w:p>
    <w:p>
      <w:r>
        <w:t>A/190/2022 - 13/18 -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juillet 2020).</w:t>
      </w:r>
    </w:p>
    <w:p>
      <w:r>
        <w:rPr>
          <w:b/>
        </w:rPr>
        <w:t>E. 10.1</w:t>
      </w:r>
    </w:p>
    <w:p>
      <w:r>
        <w:t>En l'occurrence, la recourante fait grief à l’intimée d’avoir insuffisamment instruit le dossier.</w:t>
      </w:r>
    </w:p>
    <w:p>
      <w:r>
        <w:rPr>
          <w:b/>
        </w:rPr>
        <w:t>E. 10.2</w:t>
      </w:r>
    </w:p>
    <w:p>
      <w:r>
        <w:t>Au niveau médical, la docteure J______, spécialiste en médecine interne et médecine du travail, responsable de secteur auprès du service de médecine du travail de la SUVA, a relevé que le dossier médical ne précisait pas le type de tumeur pulmonaire dont l’assuré était atteint et que le système PACS ne contenait aucune radiographie. Elle a expliqué que la description patho-anatomique sur les clichés de la tomodensitométrie ne correspondait pas à un mésothéliome pleural, mais beaucoup plus à une tumeur pulmonaire, de quelque type qu'elle soit. Il s'agissait selon elle plutôt d'un carcinome pulmonaire avec des métastases du côté opposé. Or, les tumeurs pulmonaires ne pouvaient être prises en charge comme maladies professionnelles dues à l'amiante que si l'exposition aux fibres d'amiante avait été suffisamment élevée, c'est-à-dire si elle atteignait 25 fibres-année selon les critères d'Helsinki (cf. rapport du 22 mai 2019). La docteure K______, spécialiste en médecine interne, pneumologie et médecine du travail auprès de la SUVA, a relevé que la nature de la tumeur pulmonaire droite métastasée n’était pas confirmée histologiquement et qu’elle ne disposait pas des radiographies permettant de déterminer s’il s’agissait éventuellement d’une pneumoconiose due à l’amiante (asbestose) ou une fibrose pleurale (cf. rapports des 28 janvier et 10 août 2020), mais que le diagnostic de carcinome bronchique pouvait être considéré comme certain à la lumière des documents médicaux fournis (cf. rapport du 10 août 2020). Concernant l'exposition aux fibres d'amiante, évaluée par les spécialistes à 4 fibres-année pour l’activité auprès d’C______ du 17 octobre 1962 au 1er février 1963, en se basant sur les scénarios les plus pessimistes faute de connaître les activités exactes et les périodes d’exposition. D’après les critères d’Helsinki, cela ne suffisait pas pour que le carcinome bronchique puisse être pris en charge en tant que maladie professionnelle liée à l’amiante. Concernant les autres activités professionnelles, elle a encore rappelé que, selon les informations de la veuve, l’assuré n’avait plus été exposé après son retour en Italie, où il avait travaillé dans le domaine estudiantin du service public, et qu’elle ne savait pas ce que l’assuré avait effectué comme travail en Suisse en 1964, 1967 et 1968, les employeurs concernés n’apparaissant pas sur l’extrait AVS et n’ayant pas pu être identifiés. Elle partait du principe que, dans le cadre de cette activité, l’assuré avait travaillé dans le domaine de la construction et qu’il n’y avait pas lieu de supposer une exposition importante à l’amiante, susceptible d’atteindre au total 25 fibres-années (cf. rapport du 10 août 2020). Ainsi, sur la base des informations à disposition, la</w:t>
      </w:r>
    </w:p>
    <w:p>
      <w:r>
        <w:t>A/190/2022 - 14/18 - Dre K______ a estimé qu’on pouvait supposer que l’assuré n'avait plus été exposé à l'amiante après son retour en Italie, ce qui permettait de confirmer qu’il n’avait été exposé à l’amiante qu’en Suisse, mais que cette exposition n’était pas suffisante pour que le carcinome bronchique puisse être pris en charge en tant que maladie professionnelle (cf. rapports des 24 novembre 2020 et 17 novembre 2021).</w:t>
      </w:r>
    </w:p>
    <w:p>
      <w:r>
        <w:rPr>
          <w:b/>
        </w:rPr>
        <w:t>E. 10.2.1</w:t>
      </w:r>
    </w:p>
    <w:p>
      <w:r>
        <w:t>La chambre de céans constate que les spécialistes de l’intimée se sont basées sur l’ensemble des pièces à leur disposition, soit les dossiers médicaux de l'Azienda Unità Sanitaria Locale (Lecce), de l’Ospedale Card. G. Panico à Tricase (Lecce), de la Fondazione Centro San Raffaele (Milan) et de l’Ospedale Sollievo Sofferenza di San Giovanni Rotondo (Foggia), qui contenaient de nombreux rapports d’examen et d’analyse de laboratoire, réalisés durant ces séjours remontant à 1996 et 1997. Elles ont procédé à une étude approfondie de ces documents qu’elles ont résumés et commentés. Les Dres J______ et K______ ont en outre insisté sur la nécessité d’obtenir le dossier radiologique afin de pouvoir étudier elles-mêmes les images et écarter un éventuel diagnostic d’asbestose ou de fibrose pleurale. La recourante a confirmé à plusieurs reprises qu’elle avait transmis toutes les pièces médicales en sa possession et qu’elle ne disposait pas des clichés demandés (cf. courriers des 14 février, 10 juillet et 4 septembre 2020). Partant, sur la base des rapports étudiés, les médecins de l’intimée ont retenu l’existence d’un carcinome bronchique, diagnostic qui correspond à celui posé par les médecins de l’Ospedale Card. G. PANICO à Tricase (Lecce), dont les rapports mentionnent un carcinome pulmonaire avec des métastases cérébrales, et de l'Azienda Unità Sanitaria Locale (Lecce), dont les documents font état d’une néoformation pulmonaire droite et du diagnostic définitif de tumeur du poumon droit, d’adénopathie médiastinale, nodulation pulmonaire. Les spécialistes de l’intimée ont expliqué qu’en présence d’une telle atteinte, l’exposition à l’amiante devait s’élever à 25 fibres-année selon les critères d’Helsinki pour que l’existence d’une maladie professionnelle puisse être retenue.</w:t>
      </w:r>
    </w:p>
    <w:p>
      <w:r>
        <w:rPr>
          <w:b/>
        </w:rPr>
        <w:t>E. 10.2.2</w:t>
      </w:r>
    </w:p>
    <w:p>
      <w:r>
        <w:t>La recourante ne se prévaut d’aucun argument de nature médicale et ne conteste pas l’appréciation des médecins de l’intimée. Elle a d’ailleurs elle aussi indiqué que son mari présentait un carcinome pulmonaire (cf. courrier du</w:t>
      </w:r>
    </w:p>
    <w:p>
      <w:r>
        <w:rPr>
          <w:b/>
        </w:rPr>
        <w:t>E. 10.2.3</w:t>
      </w:r>
    </w:p>
    <w:p>
      <w:r>
        <w:t>Dans ces conditions, la chambre de céans ne constate aucun élément susceptible de remettre en cause les conclusions des Dres J______ et K______, dûment motivées et convaincantes.</w:t>
      </w:r>
    </w:p>
    <w:p>
      <w:r>
        <w:rPr>
          <w:b/>
        </w:rPr>
        <w:t>E. 10.3</w:t>
      </w:r>
    </w:p>
    <w:p>
      <w:r>
        <w:t>Il n’en va en revanche pas de même de l’anamnèse professionnelle retenue par l’intimée et sur laquelle se sont fondées les Dres J______ et K______.</w:t>
      </w:r>
    </w:p>
    <w:p>
      <w:r>
        <w:rPr>
          <w:b/>
        </w:rPr>
        <w:t>E. 10.3.1</w:t>
      </w:r>
    </w:p>
    <w:p>
      <w:r>
        <w:t>Selon l’extrait de compte individuel de l’assuré, ce dernier a travaillé pour la société C______ AG en 1962 et 1963, pour l’entreprise G______ à Näfels en</w:t>
      </w:r>
    </w:p>
    <w:p>
      <w:r>
        <w:t>A/190/2022 - 15/18 - 1963, et il a en outre perçu des revenus pour les 1964, 1967 et 1968 avec la seule mention « Caisse de compensation D, 1201 Genève ». L’intimée a sollicité des renseignements auprès d’C______, qui lui a répondu, lors d’une conversation téléphonique du 2 août 2019 et par courriel du 15 août 2019, que l’assuré avait été employé par la société du 17 octobre 1962 au 1er février 1963 en qualité de manutentionnaire dans le domaine du transfert, sans pouvoir toutefois décrire exactement ce poste. Dans une appréciation du 28 avril 2020, Monsieur I______, spécialiste de la sécurité au travail, a rappelé que l’assuré avait travaillé dans l’unité expédition d’C______ du 17 octobre 1962 au 1er février 1963, sans que ses activités exactes et le temps d’exposition à l’amiante ne soient connus. Il n’existait pas de mesures de la SUVA pour ladite exposition dans l’entreprise concernée pour les années 1962-1963. Selon les tables déterminantes, on pouvait appliquer pour les articles en amiante-ciment dans la production industrielle des années 1962-1963 une valeur de 100 f/ml (correspondant au 90ème percentile). L’époux de la recourante ayant œuvré dans des activités hors processus de fabrication, il s’était trouvé dans une situation d’exposition passive pour laquelle la valeur admissible était de 10% de la concentration sur le poste de travail adjacent. Ainsi, en retenant le pire scénario, il évaluait à 4 fibres-années l’exposition professionnelle cumulée aux fibres d’amiante pour la période de travail auprès d’C______. La Dre K______ a expliqué que, d’après les critères d’Helsinki, l’exposition retenue par M. I______ ne suffisait pas pour que le carcinome bronchique puisse être pris en charge en tant que maladie professionnelle liée à l’amiante. Elle a toutefois également rappelé qu’elle ne savait pas quelles activités l’assuré avait effectuées en 1964, 1967 et 1968 puisque les employeurs n’apparaissant pas sur l’extrait AVS. Même s’il n’y avait pas lieu de supposer une exposition importante à l’amiante susceptible d’atteindre au total 25 fibres-années, elle proposait, par souci d’exhaustivité, d’essayer encore une fois de savoir où l’intéressé avait travaillé durant ces années (cf. rapport du 10 août 2020). Par la suite, à l’appui de son opposition, la recourante a exposé que son défunt mari avait travaillé pour une entreprise de construction de bâtiments et de voies ferrées à Genève, de 1963 à 1968 (cf. courriers des 12 mars et 23 avril 2021). Elle a également indiqué que contrairement à ce que l’intimée avait retenu, l’assuré n’avait pas œuvré en tant que magasinier au service des expéditions, mais bien comme ouvrier, presque exclusivement en contact avec l’amiante. À l’appui de ses dires, elle a produit des déclarations datées d’avril 2021 de trois anciens collègues de l’assuré (dont son frère) auprès d’C______ et dont il ressort : - que M. D______, ouvrier auprès d’C______ dans les années 1960-1970 se souvient précisément que le mari de la recourante travaillait à l’intérieur de l’usine C______ et qu’il était chargé d’imperméabiliser les objets en amiante- ciment en appliquant du bitume. Avant l’application de la couche</w:t>
      </w:r>
    </w:p>
    <w:p>
      <w:r>
        <w:t>A/190/2022 - 16/18 - imperméable, l’objet en amiante-ciment était dépoussiéré manuellement par les opérateurs, dont l’assuré, lesquels voyaient leurs vêtements de travail et les parties exposées de leur corps saupoudrés d’amiante ; - que M. L______, ouvrier à l’entreprise C______ à Niederurnen de 1963 à fin 1964 a travaillé directement avec l’assuré durant une certaine période, effectuant les mêmes tâches d’ouvrier que lui, à savoir le traitement des objets en amiante-ciment et notamment leur imperméabilisation. De grandes quantités de poussière d’amiante se développaient pendant l’exécution de cette tâche. L’amiante circulait en outre dans toutes les zones de l’usine, y compris les bureaux, dont l’accès était interdit aux ouvriers. Aucun équipement de protection n’avait jamais été fourni par l’entreprise ; - que M. F______, frère de l’assuré et ouvrier d’C______ à Niederurnen de 1962 à 1965 se souvient que son frère avait travaillé durant quelques mois comme ouvrier également chez C______, en charge de l’imperméabilisation des objets en amiante-ciment, notamment au goudron. Il devait préalablement nettoyer manuellement l’objet à imperméabiliser, ce qui générait de grandes quantités de poussière d’amiante. Aucun équipement de protection, ni même des masques, n’était fourni pour ces travaux. Après avoir pris connaissance du contenu de l’opposition, M. I______ a complété son évaluation en y intégrant la période de seize mois durant laquelle l’assuré avait travaillé à Genève entre 1963 et 1968 (cinq mois en 1964, cinq mois en 1967 et six mois en 1968), considérant qu’il avait alors été exposé à l’amiante durant 3.59 fibres-années, soit un total de 7.59 fibres-années (prise de position du 11 novembre 2021). Il ne fait en revanche pas état des affirmations de la recourante selon lesquelles, lorsque l’assuré œuvrait pour le compte d’C______ à Niederurnen, il intervenait en contact direct avec l’amiante, dépoussiérant manuellement l’objet en amiante-ciment avant d’y appliquer une couche imperméable, ce sans protection. Ces allégations sont pourtant déterminantes dans la mesure où, si elles s’avèrent justes, cela pourrait signifier que l’époux de la recourante s’est trouvé dans une situation d’exposition active à l’amiante, dans le cadre du processus de fabrication. Or, selon les explications de M. I______ du 28 avril 2020, une exposition de ce type engendre une concentration dix fois supérieure à celle prévalant dans le cas d’une exposition passive, depuis le poste de travail adjacent. Ces allégations sont en outre corroborées par les déclarations écrites et concordantes de trois anciens collègues, témoins directs des faits. Au vu de ces éléments, la chambre de céans considère que l’hypothèse retenue par la recourante quant à l’activité exercée par son mari chez C______ a été rendue suffisamment vraisemblable pour justifier, au minimum, des investigations complémentaires de la part de l’intimée. C’est d’autant plus évident que celle-ci a fondé sa détermination quant au statut de l’assuré sur la base des seuls</w:t>
      </w:r>
    </w:p>
    <w:p>
      <w:r>
        <w:t>A/190/2022 - 17/18 - renseignements qu’elle a reçus de l’entreprise elle-même, lesquels se sont avérés fort maigres, vu qu’il a uniquement été indiqué que l’intéressé avait été employé par la société du 17 octobre 1962 au 1er février 1963 en qualité de manutentionnaire dans le domaine du transfert, sans qu’il soit possible à la représentante d’C______ de décrire en quoi consistait ce poste. Dans ces circonstances, il n’est pas convaincant que l’intimée fonde tout son raisonnement sur ces informations lacunaires, sans même se déterminer sur les attestations fournies par la recourante, dont le contenu est pourtant concordant et passablement détaillé. L’intimée se devait pour le moins d’essayer de prendre contact avec ses personnes ou de se renseigner sur elles auprès d’C______ afin d’obtenir des renseignements sur leur compte. On pouvait également attendre de l’intimée qu’elle tente d’obtenir d’C______ les coordonnées d’autres employés encore en vie et qui auraient également œuvré en qualité de manutentionnaires dans le domaine du transfert durant les années 1963-1964 afin de clarifier la nature de cette activité- En l’état, la chambre de céans ne saurait considérer qu’il est établi au degré de la vraisemblance prépondérante que l’assuré a uniquement été exposé de manière passive à l’amiante. Dans la mesure où toute l’évaluation de M. I______ ainsi que l’appréciation des Dres J______ et K______ reposent sur cette prémisse erronée, il convient de renvoyer le dossier à l’intimée afin qu’elle investigue plus en avant la nature exacte de l’activité de l’époux de la recourante auprès d’C______, qu’elle procède sur cette base à une nouvelle évaluation de l’exposition à l’amiante et rende une nouvelle décision.</w:t>
      </w:r>
    </w:p>
    <w:p>
      <w:r>
        <w:rPr>
          <w:b/>
        </w:rPr>
        <w:t>E. 11</w:t>
      </w:r>
    </w:p>
    <w:p>
      <w:r>
        <w:t>Le recours est partiellement admis et la décision sur opposition du 23 novembre 2021 est annulée.</w:t>
      </w:r>
    </w:p>
    <w:p>
      <w:r>
        <w:rPr>
          <w:b/>
        </w:rPr>
        <w:t>E. 12</w:t>
      </w:r>
    </w:p>
    <w:p>
      <w:r>
        <w:t>Assistée par un mandataire professionnellement qualifié et obtenant gain de cause, la recourante a droit à des dépens, qui seront fixé à CHF 2'000.- (art. 61 let. g LPGA ; art. 6 du règlement sur les frais, émolument et indemnités en matière administrative du 30 juillet 1986 [RFPA – E 5 10.03]).</w:t>
      </w:r>
    </w:p>
    <w:p>
      <w:r>
        <w:rPr>
          <w:b/>
        </w:rPr>
        <w:t>E. 13</w:t>
      </w:r>
    </w:p>
    <w:p>
      <w:r>
        <w:t>Pour le surplus, la procédure est gratuite (art. 61 let.fbis LPGA a contrario).</w:t>
      </w:r>
    </w:p>
    <w:p>
      <w:r>
        <w:t>A/190/2022 - 18/18 -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