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ATAS/803/2020 vom 23. September 2020</w:t>
      </w:r>
    </w:p>
    <w:p>
      <w:r>
        <w:t>GE Cour de justice, 2020-09-23, FR</w:t>
      </w:r>
    </w:p>
    <w:p>
      <w:r>
        <w:rPr>
          <w:b/>
        </w:rPr>
        <w:t xml:space="preserve">Quelle: </w:t>
      </w:r>
      <w:r>
        <w:t>https://mcp.opencaselaw.ch/entscheid/ge_gerichte_ATAS_803_2020</w:t>
      </w:r>
    </w:p>
    <w:p>
      <w:r>
        <w:t>FR: GE_GERICHTE ATAS/803/2020 du 23 septembre 2020</w:t>
      </w:r>
    </w:p>
    <w:p>
      <w:r>
        <w:t>IT: GE_GERICHTE ATAS/803/2020 del 23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en temps utile, étant précisé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w:t>
      </w:r>
    </w:p>
    <w:p>
      <w:r>
        <w:rPr>
          <w:b/>
        </w:rPr>
        <w:t>E. 3</w:t>
      </w:r>
    </w:p>
    <w:p>
      <w:r>
        <w:t>Il convient de se prononcer préalablement sur la recevabilité du recours adressé par le recourant le 27 avril 2020 auprès de la chambre de céans.</w:t>
      </w:r>
    </w:p>
    <w:p>
      <w:r>
        <w:rPr>
          <w:b/>
        </w:rPr>
        <w:t>E. 4</w:t>
      </w:r>
    </w:p>
    <w:p>
      <w:r>
        <w:t>Le recours est dirigé contre la décision sur opposition de l’intimé du 26 février 2020 confirmant sa décision du 15 mars 2018 – laquelle a repris le calcul des prestations complémentaires dues au recourant à compter du 1er novembre 2017, mois durant lequel il avait formellement demandé la correction des montants erronés – et indiquant refuser de reconsidérer les décisions antérieures à celle du 15 mars 2018.</w:t>
      </w:r>
    </w:p>
    <w:p>
      <w:r>
        <w:rPr>
          <w:b/>
        </w:rPr>
        <w:t>E. 5</w:t>
      </w:r>
    </w:p>
    <w:p>
      <w:r>
        <w:t>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w:t>
      </w:r>
    </w:p>
    <w:p>
      <w:r>
        <w:t>A/1225/2020 - 7/14 - Les décisions sur opposition et celles contre lesquelles la voie de l’opposition n’est pas ouverte sont sujettes à recours (art. 56 al. 1 LPGA). Le délai de recours est de trente jours (art. 60 al. 1 LPGA). Si le délai, compté par jours ou par mois, doit être communiqué aux parties, il commence à courir le lendemain de la communication (art. 38 al. 1 LPGA). Lorsque le délai échoit, entre autres, un dimanche, son terme est reporté au premier jour ouvrable qui suit (art. 38 al. 3 LPGA).</w:t>
      </w:r>
    </w:p>
    <w:p>
      <w:r>
        <w:rPr>
          <w:b/>
        </w:rPr>
        <w:t>E. 6</w:t>
      </w:r>
    </w:p>
    <w:p>
      <w:r>
        <w:t>a. En vertu de l'art. 53 al. 1 LPGA, les décisions et les décisions sur opposition formellement passées en force sont soumises à révision si l’intéressé ou l'assureur découvre subséquemment des faits nouveaux importants ou trouve des nouveaux moyens de preuve qui ne pouvaient être produits auparavant. L'al. 2 de cette même disposition, qui formalise un principe général du droit des assurances sociales, prévoit que l'assureur peut reconsidérer les décisions ou les décisions sur opposition formellement passées en force, lorsqu'elles sont manifestement erronées et que leur rectification revêt une importance notable (ATF 133 V 50 consid. 4.1). b. Selon la jurisprudence, l'administration n'est pas tenue de reconsidérer les décisions qui remplissent les conditions fixées ; elle en a simplement la faculté et ni l’intéressé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du Tribunal fédéral 9C_447/2007 du 10 juillet 2008 consid. 1 ; UELI KIESER, ATSG-Kommentar, 2°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MOSER-SZELESS, Commentaire romand de la LPGA, no. 91 ad art. 53 LPGA, p. 643).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Il sera encore précisé que le Tribunal fédéral a déjà jugé qu’un refus d’entrer en matière sur une demande de reconsidération n’était pas incompatible avec la garantie d’un droit à un recours effectif devant une autorité judiciaire, garantie prévue par la Constitution fédérale, la Convention européenne des droits de</w:t>
      </w:r>
    </w:p>
    <w:p>
      <w:r>
        <w:t>A/1225/2020 - 8/14 - l’homme et le Pacte relatif aux droits civils et politiques, dès lors que l’intéressé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3.3 et les références).</w:t>
      </w:r>
    </w:p>
    <w:p>
      <w:r>
        <w:rPr>
          <w:b/>
        </w:rPr>
        <w:t>E. 7</w:t>
      </w:r>
    </w:p>
    <w:p>
      <w:r>
        <w:t>En matière de prestations complémentaires, l'art. 25 OPC-AVS/AI permet d'adapter une décision de prestations à des modifications postérieures de la situation personnelle et économique de l'ayant-droit en raison d'un changement de circonstances (ATF 119 V 189 consid. 2c ;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Selon l'art. 25 al. 1 let. d OPC-AVS/AI, la prestation complémentaire annuelle doit être augmentée, réduite ou supprimée lors d'un contrôle périodique, si l'on constate un changement des dépenses reconnues, des revenus déterminants et de la fortune ; on pourra renoncer à rectifier la prestation complémentaire annuelle, lorsque la modification est inférieure à CHF 120.- par an.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w:t>
      </w:r>
    </w:p>
    <w:p>
      <w:r>
        <w:rPr>
          <w:b/>
        </w:rPr>
        <w:t>E. 8</w:t>
      </w:r>
    </w:p>
    <w:p>
      <w:r>
        <w:t>a. En l’espèce, le recourant soutient dans ses écritures que l’on se trouverait en présence soit d’une décision de révision, auquel cas il conviendrait de rétablir une situation conforme au droit, soit d’une décision de reconsidération, auquel cas le contrôle porterait sur le point de savoir si la décision initiale (soit celle du 29 août 2016) présenterait une inexactitude manifeste et si sa rectification revêtirait une importance notable. De son côté, l’intimé prétend que le cas d’espèce constituerait une simple modification des prestations complémentaires effectuée sur la base de l’art. 25 OPC-AVS/AI. b. Dans la mesure où le recourant ne se prévaut pas de faits nouveaux ou de nouveaux moyens de preuve, mais de faits – le montant incorrect de ses rentes AVS/AI et du deuxième pilier et la prise en compte erronée des allocations familiales – qui existaient depuis qu’il est bénéficiaire de prestations complémentaires et dont il était en mesure de prouver l’inexactitude en temps voulu, l’on ne se trouve pas dans un cas de révision.</w:t>
      </w:r>
    </w:p>
    <w:p>
      <w:r>
        <w:t>A/1225/2020 - 9/14 - c. Il convient dès lors de déterminer si le cas d’espèce constitue, comme le soutient le recourant, une reconsidération de la part de l’intimé ou, comme l’invoque le SPC, une simple modification des prestations complémentaires. Dans la décision du 15 mars 2018 qui a fait l’objet d’une opposition par le recourant, l’intimé a repris le calcul des prestations complémentaires dues au recourant à compter du 1er novembre 2017 en se fondant sur les montants annoncés par ce dernier dans son courrier du 6 novembre 2017. Ce faisant, il a procédé à une mise à jour du dossier du recourant, aboutissant à une modification des prestations complémentaires dues à ce dernier. Cette nouvelle décision a, conformément à l’art. 25 al. 2 let. d OPC-AVS/AI, porté effet dès le début du mois au cours duquel le changement a été annoncé – ou plutôt la correction a été demandée, soit, au début du mois de novembre 2017. Partant, l’on ne saurait retenir, comme le soutient le recourant, que l’intimé aurait procédé à une reconsidération de ses décisions antérieures. Dans la décision sur opposition querellée, l’intimé confirme la teneur de sa décision du 15 mars 2018 et indique, s’agissant des décisions portant sur la période antérieure au 1er novembre 2017, qu’il n’entendait pas procéder à une reconsidération de celles-ci. L’intimé a donc refusé d’entrer en matière sur la demande de reconsidération du recourant, et n’a pas examiné si les conditions requises de la reconsidération étaient remplies. Dans son recours, le recourant ne conteste pas les nouveaux calculs effectués par l’intimé dès le 1er novembre 2017, mais uniquement le fait que l’intimé n’ait pas corrigé les décisions antérieures à cette date. Partant, il conteste en essence le refus de l’intimé de reconsidérer les décisions antérieures au 1er novembre 2017. Or, conformément à la jurisprudence susmentionnée, un assureur social n’est pas tenu de reconsidérer les décisions qui remplissent les conditions fixées de la reconsidération ; il en a simplement la faculté et ni l’intéressé ni le juge ne peuvent l'y contraindre. Un refus d'entrer en matière sur une demande de reconsidération ne pouvant pas faire l'objet d'un contrôle en justice, le recours doit a priori être déclaré irrecevable.</w:t>
      </w:r>
    </w:p>
    <w:p>
      <w:r>
        <w:rPr>
          <w:b/>
        </w:rPr>
        <w:t>E. 9</w:t>
      </w:r>
    </w:p>
    <w:p>
      <w:r>
        <w:t>Il convient d’examiner encore le grief de violation du principe de confiance par l’intimé, dont se prévaut le recourant. Ce dernier soutient que la décision querellée devrait être annulée, l’administration devant s’abstenir de tout comportement propre à tromper l’administré, et ne pouvant tirer aucun avantage des conséquences d’une incorrection ou d’une insuffisance de sa part.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w:t>
      </w:r>
    </w:p>
    <w:p>
      <w:r>
        <w:t>A/1225/2020 - 10/14 -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En l’espèce, le recourant ne peut soutenir avoir pris des dispositions qu’il ne saurait modifier sans préjudice en raison d’une erreur de l’administration, en laquelle il aurait placé toute sa confiance. Partant, il ne peut se prévaloir d’une violation du principe de confiance.</w:t>
      </w:r>
    </w:p>
    <w:p>
      <w:r>
        <w:rPr>
          <w:b/>
        </w:rPr>
        <w:t>E. 10</w:t>
      </w:r>
    </w:p>
    <w:p>
      <w:r>
        <w:t>Reste à examiner l’argument du recourant, qui soutient qu’en raison de son état de santé, il n’aurait pas été en mesure de se rendre compte de l’erreur de l’intimé, et donc de contester les décisions antérieures au mois de novembre 2017 dans les délais de recours. Il convient donc d’examiner si une restitution de délai devrait lui être octroyée. a. Une restitution de délai peut être octroyée,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w:t>
      </w:r>
    </w:p>
    <w:p>
      <w:r>
        <w:t>A/1225/2020 - 11/14 -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 b. Selon l’art. 16 du code civil suisse du 10 décembre 1907 (CC - RS 210, dans sa teneur en vigueur dès le 1er janvier 2013), toute personne qui n’est pas privée de la faculté d’agir raisonnablement en raison de son jeune âge, de déficience mentale, de troubles psychiques, d’ivresse ou d’autres causes semblables est capable de discernement. Jusqu’au 31 décembre 2012, l’art. 16 aCC prévoyait que toute personne qui n’est pas dépourvue de la faculté d’agir raisonnablement à cause de son jeune âge, ou qui n’en est pas privée par suite de maladie mentale, de faiblesse d’esprit, d’ivresse ou d’autres causes semblables, était capable de discernement. La norme se référait ainsi à « la maladie mentale » et à « la faiblesse d’esprit » comme causes entravant la faculté d’une personne d’agir raisonnablement. La modification de l’art. 16 CC avait pour but de supprimer toute connotation stigmatisante (FF 2006 p. 7626). La portée matérielle de la nouvelle disposition est la même que celle de l’art. 16 aCC et les principes tirés de l’ancienne disposition demeurent applicables (arrêt du Tribunal fédéral 5A_859/2014 du 17 mars 2015 consid. 3).</w:t>
      </w:r>
    </w:p>
    <w:p>
      <w:r>
        <w:t>A/1225/2020 - 12/14 -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c. Dans un arrêt du 30 novembre 2017, le Tribunal fédéral a annulé un jugement cantonal qui avait octroyé une restitution de délai à un assuré invoquant des problèmes psychiques l’empêchant de former opposition à l’encontre de la décision de l’assurance. Le Tribunal fédéral a en essence retenu qu’il ne pouvait être établi que l'assuré était incapable de discernement, car aucun des certificats médicaux figurant au dossier ne décrivait des troubles susceptibles, par leur gravité, de l’empêcher de contester la décision initiale durant tout le délai d’opposition. Par ailleurs, l’assuré avait été capable d’effectuer des démarches administratives concrètes durant le délai d’opposition, requérant notamment des documents par téléphone à l’assurance. Son état de santé déficient ne l’avait dès lors pas empêché</w:t>
      </w:r>
    </w:p>
    <w:p>
      <w:r>
        <w:t>A/1225/2020 - 13/14 - de procéder à des actes de gestion administrative (arrêt du Tribunal fédéral 8C_538/2017 du 30 novembre 2017 consid. 4.3). d. En l’espèce, le recourant a adressé à l’intimé un rapport de la Dresse C______ du</w:t>
      </w:r>
    </w:p>
    <w:p>
      <w:r>
        <w:rPr>
          <w:b/>
        </w:rPr>
        <w:t>E. 14</w:t>
      </w:r>
    </w:p>
    <w:p>
      <w:r>
        <w:t>mai 2018, laquelle a indiqué qu’il souffrait d’une schizophrénie qui engendrait des troubles cognitifs et rendait difficile la gestion administrative de son quotidien. Ladite praticienne n’indique cependant pas depuis quand le recourant a rencontré ces problèmes de santé. Elle ne fait pas non plus état d’une réelle incapacité de discernement de ce dernier, qui ne fait au demeurant l’objet d’aucune mesure d’interdiction. Il ressort par ailleurs du dossier que le recourant a été en mesure de s’adresser à l’Hospice général en vue de déposer une demande de prestations à l’intimé, à son médecin en mai 2017 afin qu’elle demande divers renseignements à l’intimé, et qu’il a par ailleurs mandaté l’ASSUAS pour former opposition à l’encontre de la décision de l’intimé du 15 mars 2018. Il a donc été parfaitement à même d’effectuer des démarches administratives concrètes durant les années litigieuses. Dans ces circonstances, le recourant ne saurait se prévaloir d’un motif valable de restitution de délai, de sorte que les décisions antérieures au mois de novembre 2017, non contestées dans les délais légaux, sont toutes entrées en force. L’intimé ayant refusé de reconsidérer lesdites décisions, ce refus n’est pas attaquable en justice. 11. Au vu des considérations qui précèdent, le recours doit être déclaré irrecevable. 12. La procédure est gratuite (art. 61 let. a LPGA et 89H al. 4 LPA).</w:t>
      </w:r>
    </w:p>
    <w:p>
      <w:r>
        <w:t>A/1225/2020 - 14/14 -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