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ATAS/803/2011 vom 5. Dezember 2007</w:t>
      </w:r>
    </w:p>
    <w:p>
      <w:r>
        <w:t>GE Cour de justice, 2007-12-05, FR</w:t>
      </w:r>
    </w:p>
    <w:p>
      <w:r>
        <w:rPr>
          <w:b/>
        </w:rPr>
        <w:t xml:space="preserve">Quelle: </w:t>
      </w:r>
      <w:r>
        <w:t>https://mcp.opencaselaw.ch/entscheid/ge_gerichte_ATAS_803_2011</w:t>
      </w:r>
    </w:p>
    <w:p>
      <w:r>
        <w:t>FR: GE_GERICHTE ATAS/803/2011 du 5 décembre 2007</w:t>
      </w:r>
    </w:p>
    <w:p>
      <w:r>
        <w:t>IT: GE_GERICHTE ATAS/803/2011 del 5 dicembre 2007</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force est de constater, en l'espèce, que la Caisse n'a pas retiré l'effet suspensif à un éventuel recours ; Que dès lors la demande de rétablissement de l'effet suspensif est sans objet ;</w:t>
      </w:r>
    </w:p>
    <w:p>
      <w:r>
        <w:t>A/2460/2011 - 4/4 - PAR CES MOTIFS, LA CHAMBRE DES ASSURANCES SOCIALES : Statuant sur incident 1. Déclare la demande de rétablissement de l'effet suspensif sans objet.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