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ATAS/803/2008 vom 8. Juli 2008</w:t>
      </w:r>
    </w:p>
    <w:p>
      <w:r>
        <w:t>GE Cour de justice, 2008-07-08, FR</w:t>
      </w:r>
    </w:p>
    <w:p>
      <w:r>
        <w:rPr>
          <w:b/>
        </w:rPr>
        <w:t xml:space="preserve">Quelle: </w:t>
      </w:r>
      <w:r>
        <w:t>https://mcp.opencaselaw.ch/entscheid/ge_gerichte_ATAS_803_2008</w:t>
      </w:r>
    </w:p>
    <w:p>
      <w:r>
        <w:t>FR: GE_GERICHTE ATAS/803/2008 du 8 juillet 2008</w:t>
      </w:r>
    </w:p>
    <w:p>
      <w:r>
        <w:t>IT: GE_GERICHTE ATAS/803/2008 del 8 luglio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En vertu de l'art. 60 LPGA, le délai de recours est de trente jours suivant la notification de la décision, étant précisé que ce délai ne court pas du 18 décembre au 2 janvier inclusivement (art. 38 al. 4 let. c LPGA). La décision de l'OCAI du 14 décembre 2008 a été reçue par la recourante en date du 20 décembre 2008, de sorte que le délai de recours est arrivé à échéance en date du 1er février 2008. Interjeté dans les forme et délai prévus par la loi, le recours reçu en date du 31 janvier 2008 par le Tribunal de céans est recevable, et ce en vertu des art. 56 ss LPGA.</w:t>
      </w:r>
    </w:p>
    <w:p>
      <w:r>
        <w:rPr>
          <w:b/>
        </w:rPr>
        <w:t>E. 4</w:t>
      </w:r>
    </w:p>
    <w:p>
      <w:r>
        <w:t>La question litigieuse est de savoir si l'OCAI était fondé, par décision du 14 décembre 2007, à supprimer la demi-rente de la recourante, et ce en raison d'une amélioration notable de son état de santé.</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w:t>
      </w:r>
    </w:p>
    <w:p>
      <w:r>
        <w:t>A/288/2008 - 8/14 -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 tout état, l'art. 17 LPGA n'a pas apporté de modification aux principes jurisprudentiels développés sous le régime de l'ancien art. 41 LAI, en vigueur jusqu'au 31 décembre 2002 (ATF 130 V 343 consid. 3.5).</w:t>
      </w:r>
    </w:p>
    <w:p>
      <w:r>
        <w:t>Pour savoir si l'état de santé de la recourante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En ce qui concerne la preuve, le juge des assurances sociales fonde sa décision, sauf dispositions contraires de la loi, sur les faits qui, faute d'être établis de manière</w:t>
      </w:r>
    </w:p>
    <w:p>
      <w:r>
        <w:t>A/288/2008 - 9/14 -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w:t>
      </w:r>
    </w:p>
    <w:p>
      <w:r>
        <w:t>A/288/2008 - 10/14 -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Tribunal fédéral des assurances (ci-après: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7</w:t>
      </w:r>
    </w:p>
    <w:p>
      <w:r>
        <w:t>En l'espèce, la recourante a déposé une demande de prestations d'invalidité en décembre 2003 et ce principalement en raison de son état dépressif. A cette période, elle émargeait à l'assurance-chômage comme cela ressort de sa demande. Le médecin traitant de la recourante avait à l'époque fait état d'une diminution de l'utilisation de son épaule gauche ainsi que de son état dépressif, ce dernier justifiant à lui seul la diminution de la capacité de travail de sa patiente. En raison de la problématique de dépression, le médecin psychiatre de la recourante à cette époque a également été consulté. Il a estimé que la recourante souffrait d'un trouble dépressif récurrent moyen et d'une personnalité émotionnellement labile, type borderline. En raison de l'état dépressif de sa patiente, il a évalué à 50% son incapacité de travail d'un point de vue strictement psychiatrique. Le médecin de l'OCAI avait alors suivi l'avis du médecin psychiatre et a, en février 2006, octroyé à la recourante une demi-rente avec effet au 1er mai 2004.</w:t>
      </w:r>
    </w:p>
    <w:p>
      <w:r>
        <w:t>C'est ainsi uniquement en raison de motifs psychiatriques qu'une demi-rente d'invalidité avait été accordée à la recourante.</w:t>
      </w:r>
    </w:p>
    <w:p>
      <w:r>
        <w:t>Lors de la procédure en révision de la rente, la recourante a été soumise à un examen psychiatrique par un expert du SMR. A cette occasion, l'expert a diagnostiqué chez l'assurée une personnalité émotionnellement labile de type borderline ainsi qu'un status après notion de trouble dépressif récurrent, en</w:t>
      </w:r>
    </w:p>
    <w:p>
      <w:r>
        <w:t>A/288/2008 - 11/14 - rémission complète. Ces diagnostics ont été considérés comme n'ayant aucune répercussion sur la capacité de travail de l'assurée. En effet, le trouble de la personnalité n'était pas décompensé et l'assurée ne présentait plus aucun signe de dépression. Il a été précisé qu'aucune limitation fonctionnelle ne pouvait être retenue attendu que le vécu de ses sentiments et ses difficultés de gestion de la distance interpersonnelle (personnalité borderline) pouvaient être soignés par une thérapie ciblée. L'expert a ainsi considéré que la recourante avait une capacité de travail exigible de 100% en tant que décoratrice en magasin d'ameublement ou peintre et qu'il en était de même dans une activité adaptée.</w:t>
      </w:r>
    </w:p>
    <w:p>
      <w:r>
        <w:t>Il sera relevé que cet examen a pleine valeur probante au sens de la jurisprudence fédérale. Il est en effet détaillé, comporte une anamnèse complète, une prise en considération des plaintes de la patiente, des diagnostics précis ainsi que des conclusions claires et bien motivées. Le rapport a également été établi de manière neutre et libre de toute appréciation dépréciante. Ses conclusions convainquent le Tribunal.</w:t>
      </w:r>
    </w:p>
    <w:p>
      <w:r>
        <w:t>Ainsi, il convient de constater que l'état de santé de la recourante qui avait fondé l'octroi de la demi-rente d'invalidité s'est notablement amélioré, attendu que depuis le mois de mars 2007, la dépression à l'origine de la demi-rente est en rémission.</w:t>
      </w:r>
    </w:p>
    <w:p>
      <w:r>
        <w:t>D'autres médecins ont donné leurs avis concernant l'état de santé de la recourante ainsi que son implication sur sa capacité de travail.</w:t>
      </w:r>
    </w:p>
    <w:p>
      <w:r>
        <w:t>Trois mois avant l'expertise, le Dr O__________, qui avait délégué le suivi psychiatrique de la recourante à sa collaboratrice, Madame F__________, psychologue, s'est sommairement prononcé sur son état psychiatrique. Il a tout d'abord indiqué que le suivi de la recourante s'était terminé au mois d'août 2006, soit près de sept mois avant l'expertise du SMR. Il a considéré que le trouble de la personnalité émotionnellement labile à traits de dépendance ainsi que le trouble dépressif récurrent, épisode actuel moyen avec syndrome somatique dont souffrait leur patiente avaient des répercussions sur la capacité de travail de cette dernière, qui a été évaluée à 30 ou 40% tout au plus, tant dans l'activité précédemment exercée, qu'en qualité de décoratrice ou de vendeuse ensemblière. Sur demande du Tribunal de céans, le psychiatre a confirmé le diagnostic de l'examinateur du SMR, tout en retenant un trouble de la personnalité émotionnellement labile avec des traits de dépendance surajoutés, qui se caractérise par des situations souvent conflictuelles à l'égard de ses collègues, un vécu d'injustice et une blessure importante de son image personnelle. Il précise que même si le dernier épisode de dépression moyenne avait été "totalement guéri", des fluctuations pourraient avoir lieu, fluctuations qui seraient susceptibles d'engendrer une péjoration de l'état de santé de la recourante. Toutefois, il a admis que sa patiente avait la faculté de recommencer à travailler partiellement et de manière progressive et qu'elle bénéficiait certainement de potentialités intellectuelles et somatiques intactes.</w:t>
      </w:r>
    </w:p>
    <w:p>
      <w:r>
        <w:t>A/288/2008 - 12/14 - Le Tribunal constate que ces rapports ne remettent pas en cause l'avis du SMR. Le psychiatre y adhère en effet en grande partie. Notamment, expressément interrogé, le psychiatre confirme les diagnostics, notamment celui de dépression en rémission, tout en retenant une possible péjoration de l'état de santé. Pour des raisons probablement thérapeutiques, il suggère toutefois une reprise de travail progressive. Quant à l'attestation de la Dresse N__________, qui conteste l'absence de tout trouble psychique, elle ne saurait remettre en question les rapports susmentionnés, établis par des spécialistes en psychiatrie, ce que le médecin traitant n'est manifestement pas. Certes, elle se dit appuyée par le nouveau psychiatre de la recourante. Toutefois, celui-ci se contente de confirmer l'attestation de la médecin traitant, en deux lignes, sans plus de précision, ce qui n'est pas de nature à remettre en cause les appréciations du Dr O__________ et du SMR.</w:t>
      </w:r>
    </w:p>
    <w:p>
      <w:r>
        <w:t>Vu ce qui précède, les conclusions du SMR seront suivies. Ainsi une pleine capacité de travail dans les activités de vendeuse-ensemblière ou de peintre doit être retenue.</w:t>
      </w:r>
    </w:p>
    <w:p>
      <w:r>
        <w:t>D'ailleurs, il ressort du dossier, soit notamment du rapport complet du SMR que la recourante est active durant la journée. Le matin elle s'occupe du ménage, peint des tableaux à l'huile, prépare des expositions (notamment à Palexpo) et sort à pied pour réaliser ses achats ou aller à la Poste. L'après-midi, elle cuisine, s'occupe de ses affaires, passe du temps sur internet. Elle prévoyait également d'entreprendre des cours informatiques. Le soir, elle cuisine et regarde la télévision. Enfin, la recourante dit peindre environ cinq heures par jour et est heureuse dans le cadre de cette activité. Il sera également précisé que la recourante indique elle-même dans son curriculum vitae qu'elle participe à des expositions collectives et individuelles depuis 1985 et que cette activité se poursuit toujours. Le psychiatre lui-même préconise la poursuite des activités professionnelles de la recourante.</w:t>
      </w:r>
    </w:p>
    <w:p>
      <w:r>
        <w:t>Ces circonstances confortent le Tribunal dans le fait que la recourante possède bel et bien une pleine capacité de travail, soit en tant que vendeuse-ensemblière, soit dans la profession de peintre, exercée actuellement.</w:t>
      </w:r>
    </w:p>
    <w:p>
      <w:r>
        <w:rPr>
          <w:b/>
        </w:rPr>
        <w:t>E. 8</w:t>
      </w:r>
    </w:p>
    <w:p>
      <w:r>
        <w:t>Par conséquent, la décision supprimant la demi-rente avec effet au 1er février 2008 (cf. art. 88a RAI) sera confirmée et l'OCAI invité à mettre en œuvre les mesures de réadaptation préconisées.</w:t>
      </w:r>
    </w:p>
    <w:p>
      <w:r>
        <w:rPr>
          <w:b/>
        </w:rPr>
        <w:t>E. 9</w:t>
      </w:r>
    </w:p>
    <w:p>
      <w:r>
        <w:t>Conformément à l'art. 69 al. 1bis LAI dans sa teneur à partir du 1er juillet 2006,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toutefois, vu la réadaptation accordée à la recourante, il sera renoncé à la perception d'un émolument.</w:t>
      </w:r>
    </w:p>
    <w:p>
      <w:r>
        <w:t>A/288/2008 - 14/14 -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