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ATAS/802/2020 vom 23. September 2020</w:t>
      </w:r>
    </w:p>
    <w:p>
      <w:r>
        <w:t>GE Cour de justice, 2020-09-23, FR</w:t>
      </w:r>
    </w:p>
    <w:p>
      <w:r>
        <w:rPr>
          <w:b/>
        </w:rPr>
        <w:t xml:space="preserve">Quelle: </w:t>
      </w:r>
      <w:r>
        <w:t>https://mcp.opencaselaw.ch/entscheid/ge_gerichte_ATAS_802_2020</w:t>
      </w:r>
    </w:p>
    <w:p>
      <w:r>
        <w:t>FR: GE_GERICHTE ATAS/802/2020 du 23 septembre 2020</w:t>
      </w:r>
    </w:p>
    <w:p>
      <w:r>
        <w:t>IT: GE_GERICHTE ATAS/802/2020 del 23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56 LPGA;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 (art. 56 ss LPGA et 62 ss LPA).</w:t>
      </w:r>
    </w:p>
    <w:p>
      <w:r>
        <w:rPr>
          <w:b/>
        </w:rPr>
        <w:t>E. 4</w:t>
      </w:r>
    </w:p>
    <w:p>
      <w:r>
        <w:t>Le litige porte sur le droit de la recourante à une rente d’invalidité et à des mesures d’ordre professionnel.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w:t>
      </w:r>
    </w:p>
    <w:p>
      <w:r>
        <w:t>A/430/2020 - 10/22 -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A/430/2020 - 11/22 -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t>A/430/2020 - 12/22 -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 arrêt du Tribunal fédéral 8C_760/2011 du 26 janvier 2012 consid. 3).</w:t>
      </w:r>
    </w:p>
    <w:p>
      <w:r>
        <w:t>A/430/2020 - 13/22 -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11</w:t>
      </w:r>
    </w:p>
    <w:p>
      <w:r>
        <w:t>La loi prévoit différentes méthodes pour évaluer l'invalidité d'un assuré en fonction du statut de ce dernier. Chez les assurés qui n'exerçaient que partiellement une activité lucrative,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arrêt du Tribunal fédéral 9C_36/2013 du 21 juin 2013 consid. 4.1.3). Une modification de l'art. 27bis al. 2 et 3 RAI est entrée en force le 1er janvier 2018. La nouvelle teneure de cette disposition est applicable au cas d’espèce, la demande de prestations ayant été déposée le 30 octobre 2017, et le droit à la rente ne pouvant prendre naissance, au plus tôt, que six mois plus tard, conformément à l’art. 29 al. 1 LAI, soit en avril 2018. Selon la nouvelle teneur de cette disposition,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w:t>
      </w:r>
    </w:p>
    <w:p>
      <w:r>
        <w:t>A/430/2020 - 14/22 -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12</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b. La mise en œuvre d'une enquête ménagère en cas de statut mixte n'est toutefois pas imposée par le droit fédéral (arrêt I 99/00 du 26 octobre 2000 consid. 3c in VSI 2001 p. 155). Il n'y a pas lieu de procéder à un acte administratif qu'une appréciation anticipée des preuves désigne clairement comme inutile (9C_103/2010 2 du septembre 2010).</w:t>
      </w:r>
    </w:p>
    <w:p>
      <w:r>
        <w:rPr>
          <w:b/>
        </w:rPr>
        <w:t>E. 13</w:t>
      </w:r>
    </w:p>
    <w:p>
      <w:r>
        <w:t>a.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w:t>
      </w:r>
    </w:p>
    <w:p>
      <w:r>
        <w:t>A/430/2020 - 15/22 -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et ATF 104 V 136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Le revenu sans invalidité se détermine en règle générale d'après le dernier salaire que l'assuré a obtenu avant l'atteinte à la santé, en tenant compte de l'évolution des salaires jusqu'au moment du prononcé de la décision (ATF 129 V 222 consid. 4.3.1).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l’ESS publiée par l'Office fédéral de la statistique (ci-après : OFS) sur la base de statistiques salariales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w:t>
      </w:r>
    </w:p>
    <w:p>
      <w:r>
        <w:t>A/430/2020 - 16/22 - consid. 5b/aa-cc). L'étendue de l'abattement justifié dans un cas concret relève du pouvoir d'appréciation (ATF 132 V 393 consid. 3.3).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t>A/430/2020 - 17/22 -</w:t>
      </w:r>
    </w:p>
    <w:p>
      <w:r>
        <w:rPr>
          <w:b/>
        </w:rPr>
        <w:t>E. 14</w:t>
      </w:r>
    </w:p>
    <w:p>
      <w:r>
        <w:t>En l’espèce, la recourante a été victime d’un accident le 28 septembre 2016, durant lequel elle s’est blessé la cheville gauche. L’évolution étant défavorable, les investigations médicales ont mis en évidence une lésion du dôme de l’astragale. La recourante a continué à exercer son activité de concierge à la suite de son accident, mais elle n’a pas pu reprendre son activité de nettoyeuse dans des bureaux, celle-ci étant plus intense. À l’issue de l’instruction médicale, menée principalement par l’assurance- accidents, l’intimé a reconnu à la recourante une capacité de travail de 100 % dans son activité habituelle de concierge, et une incapacité de travail de 100 % dans son activité habituelle de nettoyeuse. Dans une activité strictement adaptée et respectant les limitations fonctionnelles de la recourante, l’intimé a considéré qu’elle avait une capacité de travail de 100 %, sans baisse de rendement. Par ailleurs, l’intimé a retenu que la recourante se consacrait à 60,75 % à son activité professionnelle, et à 39,25 % à l’accomplissement de ses travaux habituels dans le ménage. Il s’est fondé sur les tabelles statistiques pour déterminer le salaire avec invalidité, plus précisément sur le tableau TA1, ligne Total, pour une femme dans une activité de niveau 1. Concernant la sphère ménagère, l’intimé a considéré qu'il n'était pas nécessaire de mettre en œuvre une enquête à domicile car il n’y avait pas d’empêchements dans la tenue du ménage dès le 28 septembre 2016, en raison d’une pleine capacité de travail dans une activité adaptée. En procédant à la comparaison des revenus, l’intimé a retenu une perte de gain de 0,44 %, arrondi à 0, taux insuffisant pour ouvrir le droit à une rente ou à des mesures d’ordre professionnel.</w:t>
      </w:r>
    </w:p>
    <w:p>
      <w:r>
        <w:rPr>
          <w:b/>
        </w:rPr>
        <w:t>E. 15</w:t>
      </w:r>
    </w:p>
    <w:p>
      <w:r>
        <w:t>a. Dans son recours, la recourante ne conteste pas l’appréciation médicale de son cas par l’intimé, ne fournissant par ailleurs aucun nouveau rapport d’un médecin qui contredirait la conclusion de l’intimé selon laquelle elle aurait une capacité de travail entière dans une activité adaptée à ses limitations fonctionnelles. À cet égard, il sied de relever que la Dresse I______, médecin traitante de la recourante, s’est certes prononcée dans son rapport du 23 juillet 2018 en faveur d’une incapacité de travail totale dans ses activités de nettoyeuse et de concierge, mais ce rapport, très succinct, ne contient aucune motivation et est contredit par les faits. La recourante a en effet très rapidement repris son activité de concierge après son accident. De surcroît, dans son dernier rapport du 11 juin 2019, la Dresse I______ a relevé qu’elle avait effectivement repris la conciergerie. La recourante ne conteste ni le statut mixte qui a été retenu par l’intimé, ni la répartition à 60,75 % active à et 39,25 % ménagère, qui correspond au demeurant à son pourcentage d’activité professionnelle avant l’atteinte à la santé et peut donc être confirmée.</w:t>
      </w:r>
    </w:p>
    <w:p>
      <w:r>
        <w:t>A/430/2020 - 18/22 - b. La recourante soutient cependant qu’au vu de son absence de formation (elle ne sait ni lire, ni écrire), de sa faible capacité d’adaptation et d’acquisition de connaissances théoriques, l’intimé ne pouvait se fonder sur des possibilités de travail irréalistes. Les limitations fonctionnelles figurant au dossier, non contestées par la recourante, sont les suivantes : l’activité professionnelle doit être réalisée essentiellement en position assise, tout en permettant quelques déplacements brefs inférieurs à 1 km, avec ponctuellement le port d’une charge de 5 kg, sans limitation au niveau des membres supérieurs et du rachis. Se fondant sur les limitations fonctionnelles retenues, l’intimé a estimé que la recourante avait une capacité de travail entière dans une activité de niveau 1 (activités simples et répétitives). Aucun élément du dossier ne permet de douter du bien-fondé de ces conclusions. La recourante n'a d'ailleurs pas soutenu, lors de l'introduction de son recours, qu'elle serait incapable d'exercer un métier respectant les contre-indications précitées, lesquelles consistent pour l'essentiel en de simples mesures d'épargne, et non en « d’importantes limitations », comme elle l’invoque. Elle soutient par contre que les possibilités d’un emploi adapté à ses limitations ne seraient pas suffisantes pour qu’elle puisse mettre en valeur sa capacité de travail résiduelle sur le plan économique dans une mesure significative. À l’instar des conclusions de l’arrêt du Tribunal fédéral 9C_279/2008 précité, il convient de retenir que s'il eût été certainement judicieux que l’intimé donne à la recourante, à titre d'information, des exemples d'activités adaptées qu'elle peut encore exercer, il convient néanmoins d'admettre que le marché du travail offre un éventail suffisamment large d'activités légères, dont on doit convenir qu'un nombre significatif est adapté aux limitations de la recourante et accessible sans aucune formation particulière. On rappellera au demeurant qu'il n'y a pas lieu, dans ce contexte, d'examiner dans quelle mesure la situation concrète du marché du travail permettrait à la recourante de retrouver un emploi. Partant, l’intimé n’a pas violé l’art. 16 LPGA en retenant que la recourante avait une capacité de travail de 100 % dans une activité adaptée, et en se référant aux données salariales publiées par l’OFS, singulièrement au salaire auquel peuvent prétendre les femmes effectuant des activités simples et répétitives (niveau de qualification 1) dans le secteur privé, étant encore précisé qu’il a procédé à un abattement de 10 % sur les salaires statistiques pour tenir compte des limitations fonctionnelles de la recourante. c. S’agissant enfin du revenu sans invalidité, il correspond aux derniers salaires que percevait la recourante, de sorte qu’il doit également être confirmé. d. Il convient à présent d’examiner le calcul du degré d’invalidité effectué par l’intimé. Ce dernier a procédé à une comparaison entre le revenu avec et sans invalidité du recourant en les extrapolant tous deux à 100 %, et il est ainsi parvenu à une perte de gain de 0,72 %, arrondi à 0 %. Ce calcul est toutefois erroné, dès lors</w:t>
      </w:r>
    </w:p>
    <w:p>
      <w:r>
        <w:t>A/430/2020 - 19/22 - qu’il n’avait pas à prendre en considération, pour fixer le revenu avec invalidité, le salaire ESS à 100%, mais seulement à 60,75 %, soit le taux d’activité de la recourante dans son activité habituelle avant l’atteinte à la santé. Selon le nouveau calcul qui doit être effectué depuis janvier 2018 pour fixer le taux d’invalidité dans le cadre d’un statut mixte, c’est uniquement le revenu sans invalidité qui doit être pris en compte à 100% et non le revenu sans invalidité (art. 27bis al. 3 let. a RAI). Il en résulte une perte de gain de 39,68 % dans la sphère professionnelle, qui doit être pondérée au moyen du taux d'occupation qu'aurait la recourante si elle n'était pas invalide, soit 60,75 %. Le taux d’invalidité de la recourante dans la sphère professionnelle s’élève donc à 24,11 %, et non à 0,72 %. Additionné à une invalidité de 0 % dans les travaux habituels, le taux d’invalidité total s’élève donc à 24,11 %. Ce taux est cependant insuffisant pour ouvrir le droit à une rente.</w:t>
      </w:r>
    </w:p>
    <w:p>
      <w:r>
        <w:rPr>
          <w:b/>
        </w:rPr>
        <w:t>E. 16</w:t>
      </w:r>
    </w:p>
    <w:p>
      <w:r>
        <w:t>Reste à examiner la conclusion de la recourante tendant à l’octroi de mesures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Selon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(arrêt du Tribunal fédéral 9C_534/2010 du 10 février 2011 consid. 3.2 et les références).</w:t>
      </w:r>
    </w:p>
    <w:p>
      <w:r>
        <w:t>A/430/2020 - 20/22 -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Le seuil minimum fixé par la jurisprudence pour ouvrir droit à une mesure de reclassement est une diminution de la capacité de gain de l’ordre de 20% (ATF 130 V 488 consid. 2 et les références). Aux termes de l'art. 18 al. 1 LAI (dans sa teneur en vigueur depuis le 1er janvier 2008), l'assuré présentant une incapacité de travail (art. 6 LPGA) et susceptible d'être réadapté a droit : à un soutien actif dans la recherche d'un emploi approprié (let. a) ; à un conseil suivi afin de conserver un emploi (let. b).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arrêt du Tribunal fédéral 9C_859/2010 du 9 août 2011 consid. 2.2). b. En l'occurrence, l'octroi d'une mesure d'orientation professionnelle financée par l'assurance-invalidité apparaît superflue lorsque, comme en l'espèce, le marché du travail offre un éventail suffisamment large d'activités légères, dont un nombre significatif est, à l'évidence, adaptée aux limitations de la recourante et accessible sans aucune formation particulière. Il n'existe donc guère d'obstacles pour celle-ci à l'exercice d'un emploi adapté à son état de santé (cf. arrêts du Tribunal fédéral</w:t>
      </w:r>
    </w:p>
    <w:p>
      <w:r>
        <w:t>A/430/2020 - 21/22 - 9C_534/2010 du 10 février 2011 consid. 4.3 ; 9C_236/2012 du 15 février 2013 consid. 3.5). Au vu du taux d’invalidité de 24,11 % de la recourante, une mesure de reclassement au sens de l’art. 17 LAI est envisageable. Une telle mesure ne se justifie toutefois pas, dès lors que la recourante, qui ne possède pas de formation, exerçait avant son invalidité l'activité de nettoyeuse, et que les activités simples et répétitives qu'elle est dorénavant à même d'exercer ne nécessitent pas de formation (cf. arrêt du Tribunal fédéral 9C_467/2012 du 25 février 2013 consid. 5.2 ; ATAS/432/2018 du 23 mai 2018 consid. 15e). La recourante n'a pas non plus le droit à une mesure d'aide au placement, puisqu'elle ne présente pas de limitations fonctionnelles (cécité, mutisme, mobilité limitée, troubles de comportement) qui l'entraveraient dans sa recherche de travail.</w:t>
      </w:r>
    </w:p>
    <w:p>
      <w:r>
        <w:rPr>
          <w:b/>
        </w:rPr>
        <w:t>E. 17</w:t>
      </w:r>
    </w:p>
    <w:p>
      <w:r>
        <w:t>Au vu de ce qui précède, le recours sera rejeté et la recourante sera condamnée au paiement d'un émolument de CHF 200.- (art. 69 al. 1bis LAI).</w:t>
      </w:r>
    </w:p>
    <w:p>
      <w:r>
        <w:t>A/430/2020 - 22/22 -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