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ATAS/802/2014 vom 27. Juni 2014</w:t>
      </w:r>
    </w:p>
    <w:p>
      <w:r>
        <w:t>GE Cour de justice, 2014-06-27, FR</w:t>
      </w:r>
    </w:p>
    <w:p>
      <w:r>
        <w:rPr>
          <w:b/>
        </w:rPr>
        <w:t xml:space="preserve">Quelle: </w:t>
      </w:r>
      <w:r>
        <w:t>https://mcp.opencaselaw.ch/entscheid/ge_gerichte_ATAS_802_2014</w:t>
      </w:r>
    </w:p>
    <w:p>
      <w:r>
        <w:t>FR: GE_GERICHTE ATAS/802/2014 du 27 juin 2014</w:t>
      </w:r>
    </w:p>
    <w:p>
      <w:r>
        <w:t>IT: GE_GERICHTE ATAS/802/2014 del 27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A/2610/2013 - 6/9 -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et dans les formes prescrites, le recours est recevable (art. 49 al. 3 LMC).</w:t>
      </w:r>
    </w:p>
    <w:p>
      <w:r>
        <w:rPr>
          <w:b/>
        </w:rPr>
        <w:t>E. 3</w:t>
      </w:r>
    </w:p>
    <w:p>
      <w:r>
        <w:t>Le litige porte sur la question de savoir si c’est à juste titre que l’intimé a refusé l’octroi d’une ARE à l’assuré.</w:t>
      </w:r>
    </w:p>
    <w:p>
      <w:r>
        <w:rPr>
          <w:b/>
        </w:rPr>
        <w:t>E. 4</w:t>
      </w:r>
    </w:p>
    <w:p>
      <w:r>
        <w:t>En vertu de l’art. 30 al. 1 de la loi cantonale en matière de chômage du 11 novembre 1983 (LMC ; RS GE J 2 20), les chômeurs ayant épuisé leur droit aux indemnités fédérales peuvent bénéficier d’une allocation de retour en emploi s’ils retrouvent un travail salarié auprès d’une entreprise active en Suisse. L’art. 32 al. 1 LMC précise que l’octroi de la mesure est subordonné à la production, avant la prise d'emploi, d’un contrat de travail à durée indéterminée. L’autorité compétente sollicite le préavis des commissions dépendant du conseil de surveillance du marché de l’emploi institué par la loi sur le service de l’emploi et la location de services, du 18 septembre 1992 (art. 37 al. 1 LMC). Ce préavis porte sur le choix de l'entreprise proposée par le chômeur ou assignée par l'autorité compétente, ainsi que sur les conditions de l'engagement (al. 2).</w:t>
      </w:r>
    </w:p>
    <w:p>
      <w:r>
        <w:rPr>
          <w:b/>
        </w:rPr>
        <w:t>E. 5</w:t>
      </w:r>
    </w:p>
    <w:p>
      <w:r>
        <w:t>Force est de constater qu’en l’occurrence, les conditions d’octroi d’une ARE n’étaient pas remplies. D’une part, parce qu’effectivement, au moment où la demande a été déposée, que ce soit en mars ou en avril 2012, l’assuré n’était plus considéré comme un chômeur en fin de droit (au terme de son premier délai-cadre d’indemnisation, le 30 novembre 2012, il justifiait déjà de plus de 12 mois de cotisations, de sorte qu’en cas de perte d’emploi, un nouveau délai-cadre d’indemnisation aurait pu être ouvert en sa faveur), d’autre part parce que l’octroi d’une ARE est subordonné, avant la prise d’emploi, à la production d’un contrat, lequel, en l’occurrence, a été signé postérieurement tant à la prise d’emploi qu’à la demande de mesure. Quant à l’allégation selon laquelle l’employeur aurait été amené à engager l’assuré, induit en erreur par une « promesse » qui lui aurait été faite, elle n’est pas établie au degré de la vraisemblance prépondérante. En effet, on ne saurait voir dans le courrier de l’OCE du 24 janvier 2013 une telle promesse inconditionnelle. Et quand bien même cela serait, les conditions d’application du principe de protection de la bonne foi ne seraient pas remplies.</w:t>
      </w:r>
    </w:p>
    <w:p>
      <w:r>
        <w:t>A/2610/2013 - 7/9 -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 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WEBER-Dűrler, Vertrauenschutz im öffentlichen Recht, Bâle 1983 p. 102 ; même auteur, falsche Auskünfte von Behörden in ZBl 1991 p. 16). En ce qui concerne la preuve du lien de causalité, on ne saurait poser</w:t>
      </w:r>
    </w:p>
    <w:p>
      <w:r>
        <w:t>A/2610/2013 - 8/9 -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En l’espèce, on ne saurait soutenir que le recourant s’est fondé, comme il le soutient, sur la prétendue promesse de l’intimé pour prendre des dispositions qu’il ne saurait modifier sans subir un préjudice. En effet, de son aveu même, l’engagement de l’assuré était également justifié par l’excellence de son travail et la nécessité de remplacer une serveuse absente depuis longtemps. Qui plus est, l’éventualité d’engager l’assuré avait été évoquée bien avant la réception du courrier du 24 janvier 2013 puisque l’intéressé s’en est fait l’écho auprès de son conseiller au début du mois de décembre 2012. Eu égard aux considérations qui précèdent, le refus d’octroi de l’ARE n’est pas critiquable. Le recours est donc rejeté.</w:t>
      </w:r>
    </w:p>
    <w:p>
      <w:r>
        <w:t>A/2610/2013 - 9/9 -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