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ATAS/802/2012 vom 19. Juni 2012</w:t>
      </w:r>
    </w:p>
    <w:p>
      <w:r>
        <w:t>GE Cour de justice, 2012-06-19, FR</w:t>
      </w:r>
    </w:p>
    <w:p>
      <w:r>
        <w:rPr>
          <w:b/>
        </w:rPr>
        <w:t xml:space="preserve">Quelle: </w:t>
      </w:r>
      <w:r>
        <w:t>https://mcp.opencaselaw.ch/entscheid/ge_gerichte_ATAS_802_2012</w:t>
      </w:r>
    </w:p>
    <w:p>
      <w:r>
        <w:t>FR: GE_GERICHTE ATAS/802/2012 du 19 juin 2012</w:t>
      </w:r>
    </w:p>
    <w:p>
      <w:r>
        <w:t>IT: GE_GERICHTE ATAS/802/2012 del 19 giugno 2012</w:t>
      </w:r>
    </w:p>
    <w:p>
      <w:pPr>
        <w:pStyle w:val="Heading2"/>
      </w:pPr>
      <w:r>
        <w:t>Erwägungen</w:t>
      </w:r>
    </w:p>
    <w:p>
      <w:r>
        <w:rPr>
          <w:b/>
        </w:rPr>
        <w:t>E. 1</w:t>
      </w:r>
    </w:p>
    <w:p>
      <w:r>
        <w:t>Donne acte à la défenderesse de ce qu’elle accepte de payer à la partie demanderesse la somme de 600 fr. pour solde de tout compte des prétentions de cette dernière, dans un délai de 30 jours dès le 1er juin 2012.</w:t>
      </w:r>
    </w:p>
    <w:p>
      <w:r>
        <w:rPr>
          <w:b/>
        </w:rPr>
        <w:t>E. 2</w:t>
      </w:r>
    </w:p>
    <w:p>
      <w:r>
        <w:t>L’y condamne en tant que de besoin.</w:t>
      </w:r>
    </w:p>
    <w:p>
      <w:r>
        <w:rPr>
          <w:b/>
        </w:rPr>
        <w:t>E. 3</w:t>
      </w:r>
    </w:p>
    <w:p>
      <w:r>
        <w:t>Met un émolument de 100 fr.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