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ATAS/802/2005 vom 12. September 2005</w:t>
      </w:r>
    </w:p>
    <w:p>
      <w:r>
        <w:t>GE Cour de justice, 2005-09-12, FR</w:t>
      </w:r>
    </w:p>
    <w:p>
      <w:r>
        <w:rPr>
          <w:b/>
        </w:rPr>
        <w:t xml:space="preserve">Quelle: </w:t>
      </w:r>
      <w:r>
        <w:t>https://mcp.opencaselaw.ch/entscheid/ge_gerichte_ATAS_802_2005</w:t>
      </w:r>
    </w:p>
    <w:p>
      <w:r>
        <w:t>FR: GE_GERICHTE ATAS/802/2005 du 12 septembre 2005</w:t>
      </w:r>
    </w:p>
    <w:p>
      <w:r>
        <w:t>IT: GE_GERICHTE ATAS/802/2005 del 12 settembre 2005</w:t>
      </w:r>
    </w:p>
    <w:p>
      <w:pPr>
        <w:pStyle w:val="Heading2"/>
      </w:pPr>
      <w:r>
        <w:t>Erwägungen</w:t>
      </w:r>
    </w:p>
    <w:p>
      <w:r>
        <w:rPr>
          <w:b/>
        </w:rPr>
        <w:t>E. 1</w:t>
      </w:r>
    </w:p>
    <w:p>
      <w:r>
        <w:t>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w:t>
      </w:r>
    </w:p>
    <w:p>
      <w:r>
        <w:rPr>
          <w:b/>
        </w:rPr>
        <w:t>E. 2</w:t>
      </w:r>
    </w:p>
    <w:p>
      <w:r>
        <w:t>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w:t>
      </w:r>
    </w:p>
    <w:p>
      <w:r>
        <w:rPr>
          <w:b/>
        </w:rPr>
        <w:t>E. 3</w:t>
      </w:r>
    </w:p>
    <w:p>
      <w:r>
        <w:t>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w:t>
      </w:r>
    </w:p>
    <w:p>
      <w:r>
        <w:t>A/465/2004 - 10/15 -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SANTESUISSE ait déposé une demande globale pour tous ses assurés ne saurait y faire obstacle (ATFA non publié K 39/95 du 11 juillet 1996 consid. 5d qui se réfère lui-même à l’ATFA non publié K 101/92 du 29 octobre 1993). Par ailleurs, le TFA a déjà jugé que plusieurs caisses, représentées le cas échéant par leur fédération cantonale, peuvent introduire une demande globale de restitution à</w:t>
      </w:r>
    </w:p>
    <w:p>
      <w:r>
        <w:t>A/465/2004 - 11/15 - l'encontre d'un fournisseur de prestations et, à l'issue de la procédure, se partager le montant obtenu à titre de restitution des rétributions perçues sans droit (ATFA non publié K 39/95 du 11 juillet 1996 consid. 5d qui se réfère lui-même à l’ATFA non publié K 101/92 du 29 octobre 1993). Par identité de motifs, ces mêmes principes s'appliquent lorsque plusieurs assureurs s'unissent pour agir à l'encontre d'un fournisseur de prestations, dans le cadre de l'art. 56 al. 2 let. a LAMal. Dès lors, on ne saurait considérer qu’une demande est irrecevable au motif qu'il ne peut s'agir d'une représentation générale par un consortium de caisses, même nommément désignées, d'un groupe d'assurés forcément anonymes. Quant au fait que la demande repose sur une estimation du trop-perçu plutôt que d’être chiffrée précisément facture par facture, elle fera l’objet de l’examen au fond. Il conviendra entre-temps de donner l’occasion à la requérante de prouver le dommage qu’elle allègue.</w:t>
      </w:r>
    </w:p>
    <w:p>
      <w:r>
        <w:rPr>
          <w:b/>
        </w:rPr>
        <w:t>E. 4</w:t>
      </w:r>
    </w:p>
    <w:p>
      <w:r>
        <w:t>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w:t>
      </w:r>
    </w:p>
    <w:p>
      <w:r>
        <w:t>A/465/2004 - 12/15 -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w:t>
      </w:r>
    </w:p>
    <w:p>
      <w:r>
        <w:t>A/465/2004 - 13/15 -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SANTESUISSE est donnée sous l'angle de la LAMal (ATFA K 51/01 du 15 avril 2002 consid. 4).</w:t>
      </w:r>
    </w:p>
    <w:p>
      <w:r>
        <w:rPr>
          <w:b/>
        </w:rPr>
        <w:t>E. 5</w:t>
      </w:r>
    </w:p>
    <w:p>
      <w:r>
        <w:t>Reste enfin à examiner la question de la péremption. En l’espèce, les prestations pour lesquelles SANTESUISSE demande restitution du trop-perçu concernent les années 2000 à 2003.</w:t>
      </w:r>
    </w:p>
    <w:p>
      <w:r>
        <w:t>A/465/2004 - 14/15 -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SANTESUISSE a eu connaissance de son droit à réception de la décision du Conseil fédéral du 7 mars 2003. Dès lors, en ouvrant action devant le Tribunal de céans en date du 8 mars 2004, elle a agi en temps utile.</w:t>
      </w:r>
    </w:p>
    <w:p>
      <w:r>
        <w:t>****</w:t>
      </w:r>
    </w:p>
    <w:p>
      <w:r>
        <w:t>A/465/2004 - 15/15 -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