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ATAS/801/2025 vom 23. Oktober 2025</w:t>
      </w:r>
    </w:p>
    <w:p>
      <w:r>
        <w:t>GE Cour de justice, 2025-10-23, FR</w:t>
      </w:r>
    </w:p>
    <w:p>
      <w:r>
        <w:rPr>
          <w:b/>
        </w:rPr>
        <w:t xml:space="preserve">Quelle: </w:t>
      </w:r>
      <w:r>
        <w:t>https://mcp.opencaselaw.ch/entscheid/ge_gerichte_ATAS_801_2025</w:t>
      </w:r>
    </w:p>
    <w:p>
      <w:r>
        <w:t>FR: GE_GERICHTE ATAS/801/2025 du 23 octobre 2025</w:t>
      </w:r>
    </w:p>
    <w:p>
      <w:r>
        <w:t>IT: GE_GERICHTE ATAS/801/2025 del 23 ottobre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t>A/2757/2025 - 5/14 -</w:t>
      </w:r>
    </w:p>
    <w:p>
      <w:r>
        <w:rPr>
          <w:b/>
        </w:rPr>
        <w:t>E. 1.2</w:t>
      </w:r>
    </w:p>
    <w:p>
      <w:r>
        <w:t>À teneur de l’art. 58 al. 2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En l’occurrence, le recourant est domicilié en France mais son dernier employeur a son siège dans le canton de Genève. La compétence de la chambre de céans pour juger du cas d’espèce est ainsi établie.</w:t>
      </w:r>
    </w:p>
    <w:p>
      <w:r>
        <w:rPr>
          <w:b/>
        </w:rPr>
        <w:t>E. 1.3</w:t>
      </w:r>
    </w:p>
    <w:p>
      <w:r>
        <w:t>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w:t>
      </w:r>
    </w:p>
    <w:p>
      <w:r>
        <w:rPr>
          <w:b/>
        </w:rPr>
        <w:t>E. 2</w:t>
      </w:r>
    </w:p>
    <w:p>
      <w:r>
        <w:t>Le litige porte sur la question de savoir si l'événement du 13 février 2025 peut être qualifié d'accident ou si la lésion peut être assimilée à un accident et si l’intimée doit prester.</w:t>
      </w:r>
    </w:p>
    <w:p>
      <w:r>
        <w:rPr>
          <w:b/>
        </w:rPr>
        <w:t>E. 3.1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w:t>
      </w:r>
    </w:p>
    <w:p>
      <w:r>
        <w:rPr>
          <w:b/>
        </w:rPr>
        <w:t>E. 3.2</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 situations que l'on peut objectivement qualifier de quotidiens ou d'habituels, autrement dit des incidents et péripéties de la vie courante (ATF 134 V 72 consid. 4.1 ; 129 V 402 consid. 2.1). Pour des lésions dues à l'effort (soulèvement, déplacement de charges notamment), il faut examiner de cas en cas si l'effort doit</w:t>
      </w:r>
    </w:p>
    <w:p>
      <w:r>
        <w:t>A/2757/2025 - 6/14 -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du 9 novembre 2023 consid. 3.2 et les références). On peut ainsi retenir à titre d'exemples de facteurs extérieurs extraordinaires le fait de trébucher, de glisser ou de se heurter à un objet (RAMA 2004 n. U 502 p. 184 consid. 4.1 ; RAMA 1999 n. U 345 p. 422 consid. 2b). Le Tribunal fédéral a, dans un arrêt récent, nié le facteur extraordinaire chez un assuré qui avait monté un petit escalier normal en tenant quelque chose à la main (arrêt du Tribunal fédéral 8C_24/2022 du 20 septembre 2022, in SVR 2023 UV n. 13 p. 40).</w:t>
      </w:r>
    </w:p>
    <w:p>
      <w:r>
        <w:rPr>
          <w:b/>
        </w:rPr>
        <w:t>E. 3.3</w:t>
      </w:r>
    </w:p>
    <w:p>
      <w:r>
        <w:t>La preuve d'un accident causant des lésions touchant l'intérieur du corps est soumise à des exigences strictes, en ce sens que la cause immédiate de la blessure doit être établie dans des circonstances particulièrement évidentes. En général, un accident entraîne des lésions qui sont perceptibles de l'extérieur, et son absence constitue une probabilité accrue qu'elle est d'origine maladive (ATF 99 V 136 consid. 1). À cet égard, le facteur externe est un élément central (ATF 134 V 72 consid. 4.1 ; arrêt du Tribunal fédéral 8C_225_2019 du 20 août 2019 consid. 3.4).</w:t>
      </w:r>
    </w:p>
    <w:p>
      <w:r>
        <w:rPr>
          <w:b/>
        </w:rPr>
        <w:t>E. 3.4</w:t>
      </w:r>
    </w:p>
    <w:p>
      <w:r>
        <w:t>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w:t>
      </w:r>
    </w:p>
    <w:p>
      <w:r>
        <w:t>A/2757/2025 - 7/14 - exercé sans que survienne un incident particulier (arrêt du Tribunal fédéral 8C_410/2017 du 22 mars 2018 consid. 3.2).</w:t>
      </w:r>
    </w:p>
    <w:p>
      <w:r>
        <w:rPr>
          <w:b/>
        </w:rPr>
        <w:t>E. 4.1</w:t>
      </w:r>
    </w:p>
    <w:p>
      <w:r>
        <w:t>L’art. 6 al. 2 LAA a conféré au Conseil fédéral la compétence d’étendre la prise en charge par l’assurance-accidents à des lésions assimilables à un accident. Aux termes de l’art. 6 al. 2 LAA dans sa teneur en vigueur depuis le 1er janvier 2017, l’assurance alloue aussi ses prestations pour les lésions corporelles suivantes, pour autant qu'elles ne soient pas dues de manière prépondérante à l'usure ou à une maladie : les fractures (let. a) ; les déboîtements d'articulations (let. b) ; les déchirures du ménisque (let. c) ; les déchirures de muscles (let. d) ; les élongations de muscles (let. e) ; les déchirures de tendons (let. f) ; les lésions de ligaments (let. g) ;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w:t>
      </w:r>
    </w:p>
    <w:p>
      <w:r>
        <w:rPr>
          <w:b/>
        </w:rPr>
        <w:t>E. 4.2</w:t>
      </w:r>
    </w:p>
    <w:p>
      <w:r>
        <w:t>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 apporte la preuve que la lésion est manifestement due à l’usure ou à une maladie (Message du Conseil fédéral relatif à la modification de la loi fédérale sur l’assurance-accidents du 30 mai 2008, FF 2008 4893). Dans un arrêt de principe du 24 septembre 2019 (ATF 146 V 51), le Tribunal fédéral a précisé que selon l’interprétation de l’art. 6 al. 2 LAA, l’application de cette disposition ne présuppose aucun facteur extérieur et donc aucun événement accidentel ou générant un risque de lésion accru au sens de la jurisprudence</w:t>
      </w:r>
    </w:p>
    <w:p>
      <w:r>
        <w:t>A/2757/2025 - 8/14 -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 compétence de l'assureur-accidents ; calcul du gain assuré ;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(consid. 9.1). Si aucun événement initial ne peut être établi, ou si seul un événement bénin ou anodin peut être établi, cela simplifie de toute évidence la preuve de la libération pour l'assureur-accidents. En effet, l'ensemble des causes des atteintes corporelles en question doit être pris en compte dans la question de la délimitation, qui doit être évaluée avant tout par des médecins spécialistes. Outre l'état antérieur, les circonstances de la première apparition des troubles doivent également être examinées plus en détails (par ex., un bilan traumatologique du genou est une aide utile pour l'évaluation médicale des blessures au genou, publié in BMS 2016 p. 1742 ss). Les différents indices qui parlent en faveur ou en défaveur de l'usure ou de la maladie doivent être pondérés d'un point de vue médical. L'assureur- accidents doit prouver, sur la base d'évaluations médicales probantes – au degré de la vraisemblance prépondérante – que la lésion en question est due de manière prépondérante à l'usure ou à la maladie, c'est-à-dire à plus de 50% de l’ensemble des facteurs en cause. Si la « palette des causes » se compose uniquement d'éléments indiquant une usure ou une maladie, il s'ensuit inévitablement que l'assureur-accidents a apporté la preuve de la « libération » et qu’il n’est pas nécessaire d’apporter des clarifications supplémentaires (consid. 8.6).</w:t>
      </w:r>
    </w:p>
    <w:p>
      <w:r>
        <w:rPr>
          <w:b/>
        </w:rPr>
        <w:t>E. 5</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w:t>
      </w:r>
    </w:p>
    <w:p>
      <w:r>
        <w:t>A/2757/2025 - 9/14 -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5.1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w:t>
      </w:r>
    </w:p>
    <w:p>
      <w:r>
        <w:t>A/2757/2025 - 10/14 -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 spécialisation médicale (arrêt du Tribunal fédéral 8C_626/2021 du 19 janvier 2022 consid. 4.3.1 et les références).</w:t>
      </w:r>
    </w:p>
    <w:p>
      <w:r>
        <w:rPr>
          <w:b/>
        </w:rPr>
        <w:t>E. 5.2</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5.3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A/2757/2025 - 11/14 -</w:t>
      </w:r>
    </w:p>
    <w:p>
      <w:r>
        <w:rPr>
          <w:b/>
        </w:rPr>
        <w:t>E. 6.1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6.2</w:t>
      </w:r>
    </w:p>
    <w:p>
      <w:r>
        <w:t>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déjà cité, consid. 4.3).</w:t>
      </w:r>
    </w:p>
    <w:p>
      <w:r>
        <w:rPr>
          <w:b/>
        </w:rPr>
        <w:t>E. 7</w:t>
      </w:r>
    </w:p>
    <w:p>
      <w:r>
        <w:t>En l’espèce, le recourant allègue que les conditions d’un accident sont remplies, notamment l’existence d’un facteur externe extraordinaire, alors que, de son côté, l’intimée considère que cette condition n’est pas réalisée, ce qui l’amène à refuser de prester.</w:t>
      </w:r>
    </w:p>
    <w:p>
      <w:r>
        <w:rPr>
          <w:b/>
        </w:rPr>
        <w:t>E. 7.1</w:t>
      </w:r>
    </w:p>
    <w:p>
      <w:r>
        <w:t>À teneur des déclarations du recourant, on ne peut que constater que, selon le déroulement des faits tels qu’ils sont décrits, aucun événement imprévisible externe et extraordinaire ne s’est produit lors de la torsion de la cheville. À cet égard, le recourant semble confondre la conséquence, apparemment extraordinaire, du fait qu’en prenant appui sur le sol avec son pied, celui-ci a tourné, avec l’existence d’une éventuelle cause externe extraordinaire ayant déclenché le mouvement de torsion du pied qui a abouti à une entorse.</w:t>
      </w:r>
    </w:p>
    <w:p>
      <w:r>
        <w:t>À titre d'exemples, le critère du facteur extérieur extraordinaire a été admis dans le cas d'une charge contre la balustrade subie par un hockeyeur (ATF 130 V 117 précité consid. 3), d'une réception au sol manquée par un gymnaste lors d'un « saut de carpe » (arrêt du Tribunal fédéral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du Tribunal fédéral U 114/97 du 18 mars 1999, in RAMA 1999 n. U 345 p. 420). En revanche, il a été nié dans le cas d'un duel entre deux</w:t>
      </w:r>
    </w:p>
    <w:p>
      <w:r>
        <w:t>A/2757/2025 - 12/14 - joueurs lors d'un match de basket-ball, lors duquel l'un est « touché » au bras tendu devant le panier par l'autre et se blesse à l'épaule en réagissant à cette action du joueur adverse (arrêt du Tribunal fédéral 8C_835/2013 du 28 janvier 2014 consid. 5, in SVR 2014 UV n. 21 p. 67).</w:t>
      </w:r>
    </w:p>
    <w:p>
      <w:r>
        <w:t>Partant, l’appréciation de l’intimée, selon laquelle la condition du facteur extérieur extraordinaire fait défaut, est bien fondée et l’événement du 13 février 2025 ne remplit pas les conditions pour être qualifié d’accident.</w:t>
      </w:r>
    </w:p>
    <w:p>
      <w:r>
        <w:rPr>
          <w:b/>
        </w:rPr>
        <w:t>E. 7.2</w:t>
      </w:r>
    </w:p>
    <w:p>
      <w:r>
        <w:t>En l’absence de la condition de la cause extérieure, se pose la question de savoir si l’on peut considérer la lésion comme étant assimilable à un accident au sens de l’art. 6 al. 2 LAA.</w:t>
      </w:r>
    </w:p>
    <w:p>
      <w:r>
        <w:t>GROUPE MUTUEL a écarté cette hypothèse en se fondant sur l’avis médical de son médecin-conseil F______ qui, à la lecture de l’IRM, estime qu’une anomalie congénitale a été mise en évidence. Le rapport médical de l’orthopédiste E______, daté du 7 mai 2025, fait le lien entre l’événement de février 2025 et l’événement qui l’a précédé, tout en soulignant que, depuis lors, le recourant rapporte des douleurs situées sur un os naviculaire accessoire. Il rejoint le diagnostic du médecin-conseil en considérant qu’il s’agit d’une déchirure de la synchondrose entre l’os accessoire et le principal, « tout à fait classique ».</w:t>
      </w:r>
    </w:p>
    <w:p>
      <w:r>
        <w:t>Aucune déchirure de ligaments n’est attestée, le rapport du médecin traitant D______ du 25 avril 2025 renvoyant à un spécialiste tout en évoquant une possible arthrose précoce de l’articulation. Il observe qu’il n’existe pas d’anomalie ligamentaire mise en évidence. Le rapport du radiologue à la suite de l’IRM du 17 mars 2025 va dans le même sens, à savoir qu’il n’y a pas d’anomalie ligamentaire et qu’il s’agirait plutôt d’un syndrome de l’os naviculaire accessoire.</w:t>
      </w:r>
    </w:p>
    <w:p>
      <w:r>
        <w:t>Il résulte de ce qui précède que la lésion mise en évidence par l’IRM n’est pas ligamentaire et qu’il n’y a pas de déboitement articulaire ou de fracture d’un os, étant précisé que la rupture de la synarthrose, correspond à du « tissu cartilagineux hyalin », selon les explications détaillées fournies par le Dr F______ dans son email du 8 septembre 2025 à l’intimée. Cette lésion ne fait donc pas partie de la liste des lésions assimilées de l’art. 6 al. 2 LAA, qui est exhaustive (voir supra ch. 4).</w:t>
      </w:r>
    </w:p>
    <w:p>
      <w:r>
        <w:t>Compte tenu de ces appréciations médicales, il n’y a pas lieu de retenir une lésion assimilée, au sens de l’art. 6 al. 2 LAA.</w:t>
      </w:r>
    </w:p>
    <w:p>
      <w:r>
        <w:t>La pièce transmise par le recourant, à savoir un e-mail du 31 juillet 2025, de son physiothérapeute, G______, se réfère à une précédente réduction d’une entorse, en date du 13 novembre 2024 par le Dr C______ et à neuf séances de physiothérapie lors desquelles il n’y a pas eu de séquelles structurelles mais des douleurs, dès la reprise du sport directement sur le ligament TLFA. Le physiothérapeute relève que le recourant s’est représenté en mars 2024 (recte : 2025) « pour la même rééducation de sa cheville » envoyé cette fois-ci par le Dr D______. Il évoque qu’après sa rééducation, le recourant a repris son activité sportive à plein temps et</w:t>
      </w:r>
    </w:p>
    <w:p>
      <w:r>
        <w:t>A/2757/2025 - 13/14 - que, suite à sa blessure de fin d’année 2024, il a créé une compensation de sa cheville, de manière inconsciente. Le physiothérapeute conclut que début juin, après prise de nouvelles, le recourant ne ressent plus de douleurs et a « pu reprendre toutes ses activités sans douleurs ».</w:t>
      </w:r>
    </w:p>
    <w:p>
      <w:r>
        <w:t>Bien que n’ayant pas été rédigé par un médecin, le rapport du physiothérapeute va dans le même sens que ce qui est exposé supra, à savoir une faiblesse de la cheville droite qui était déjà, apparemment, à l’origine de l’entorse du mois de novembre 2024.</w:t>
      </w:r>
    </w:p>
    <w:p>
      <w:r>
        <w:t>Compte tenu de l’appréciation médicale faite par le médecin-conseil de l’assurance, qui est un spécialiste des problèmes de traumatologie, et en l’absence de tout indice de nature à mettre en doute cette appréciation, la chambre de céans considère qu’il est établi, au degré de la vraisemblance prépondérante, que l’entorse dont a souffert le recourant, suite à l’événement du 13 février 2025, n’est pas accidentelle et ne peut pas être considérée comme une lésion assimilable à un accident.</w:t>
      </w:r>
    </w:p>
    <w:p>
      <w:r>
        <w:rPr>
          <w:b/>
        </w:rPr>
        <w:t>E. 8.1</w:t>
      </w:r>
    </w:p>
    <w:p>
      <w:r>
        <w:t>Au vu de ce qui précède, le recours est rejeté.</w:t>
      </w:r>
    </w:p>
    <w:p>
      <w:r>
        <w:rPr>
          <w:b/>
        </w:rPr>
        <w:t>E. 8.2</w:t>
      </w:r>
    </w:p>
    <w:p>
      <w:r>
        <w:t>Pour le surplus, la procédure est gratuite (art. 61 let. fbis LPGA a contrario).</w:t>
      </w:r>
    </w:p>
    <w:p>
      <w:r>
        <w:t>A/2757/2025 - 14/14 -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