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ATAS/801/2018 vom 13. September 2018</w:t>
      </w:r>
    </w:p>
    <w:p>
      <w:r>
        <w:t>GE Cour de justice, 2018-09-13, FR</w:t>
      </w:r>
    </w:p>
    <w:p>
      <w:r>
        <w:rPr>
          <w:b/>
        </w:rPr>
        <w:t xml:space="preserve">Quelle: </w:t>
      </w:r>
      <w:r>
        <w:t>https://mcp.opencaselaw.ch/entscheid/ge_gerichte_ATAS_801_2018</w:t>
      </w:r>
    </w:p>
    <w:p>
      <w:r>
        <w:t>FR: GE_GERICHTE ATAS/801/2018 du 13 septembre 2018</w:t>
      </w:r>
    </w:p>
    <w:p>
      <w:r>
        <w:t>IT: GE_GERICHTE ATAS/801/2018 del 13 settembre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 (art. 56 ss LPGA).</w:t>
      </w:r>
    </w:p>
    <w:p>
      <w:r>
        <w:rPr>
          <w:b/>
        </w:rPr>
        <w:t>E. 3</w:t>
      </w:r>
    </w:p>
    <w:p>
      <w:r>
        <w:t>Est litigieux en l’occurrence le droit du recourant aux prestations complémentaires cantonales du canton de Genève entre le 1er janvier 2016 et le 1er juin 2017 et le droit de l'intimé de demander la restitution des éventuelles prestations indûment perçues, questions qui dépendent en particulier du domicile du recourant durant cette période.</w:t>
      </w:r>
    </w:p>
    <w:p>
      <w:r>
        <w:rPr>
          <w:b/>
        </w:rPr>
        <w:t>E. 4</w:t>
      </w:r>
    </w:p>
    <w:p>
      <w:r>
        <w:t>Au niveau cantonal, l’art. 2 al. 1 LPCC soumet le droit aux prestations complémentaires cantonales à la condition du domicile et de la résidence habituelle dans le canton de Genève.</w:t>
      </w:r>
    </w:p>
    <w:p>
      <w:r>
        <w:rPr>
          <w:b/>
        </w:rPr>
        <w:t>E. 5</w:t>
      </w:r>
    </w:p>
    <w:p>
      <w:r>
        <w:t>Selon l'art. 13 LPGA, applicable par renvoi des art. 1 al. 1 LPC et 1A LPCC, en vigueur depuis le 1er janvier 2008, le domicile d'une personne est déterminé selon les art. 23 à 26 du code civil du 10 décembre 1907 (CC; RS 210). Le domicile de toute personne est au lieu où elle réside avec l'intention de s'y établir (art. 23 al. 1 CC). La notion de domicile comporte deux éléments : l'un objectif, la résidence dans un lieu donné ; l'autre subjectif, l'intention d'y demeurer. La notion de résidence habituelle d'une personne physique correspond à l'endroit où la personne intéressée a le centre de ses relations personnelles et se déduit, non de sa volonté subjective et intime, mais de circonstances de fait extérieurement reconnaissables attestant de sa présence dans un lieu donné (ATF 129 III 288 consid. 4.1 p. 292 et les références) soit sur l'intention manifestée objectivement et</w:t>
      </w:r>
    </w:p>
    <w:p>
      <w:r>
        <w:t>A/2045/2018 - 6/10 - reconnaissable pour les tiers (ATF 127 V 238 consid. 1, 125 V 77 consid. 2a, 120 III 7 consid. 2a).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Le domicile en un lieu peut durer alors même que la résidence en ce lieu est interrompue pour un certain temps, pourvu que la volonté de conserver le lieu de résidence comme centre d’existence résulte de certains rapports avec celui-ci (ATF 41 III 51).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w:t>
      </w:r>
    </w:p>
    <w:p>
      <w:r>
        <w:t>A/2045/2018 - 7/10 - 100).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En l’occurrence, il convient en premier lieu de relever que, contrairement à ce qu’indique le recourant dans ses écritures, il n’est pas resté domicilié au même endroit depuis 2009. En effet, au moment de l’arrêt de la chambre de céans du 20 février 2013, il était domicilié à la rue B______ ______ à Genève. Or, depuis le 1er août 2014, un domicile chez M. E______ est indiqué dans la base de données de OPCM. Ainsi, si la chambre de céans a pu constater, lors d’un transport sur place en date du 16 janvier 2013, que le recourant habitait effectivement à la rue B______ ______ à Genève, cela ne peut pas valoir pour le nouveau domicile chez M. E______ au Petit-Lancy. Il convient également de relever que le recourant n’est pas au bénéfice d’un bail principal et n’a pas non plus produit un contrat de sous-location en bonne et due forme. Le recourant lui-même ne parle pas de sous-location mais « d’arrangement » (cf. son courrier du 30 mars 2017). M. E______ certifie également le 3 avril 2017 que « l’arrangement » avec l’ayant droit a pris fin. Le terme utilisé fait penser qu’il ne s’agissait en fait non pas d’une véritable sous-location, mais uniquement d’un accord pour mettre le nom du recourant sur la boîte aux lettres de M. E______. Par ailleurs, il résulte des extraits bancaires du recourant en 2016 que celui-ci effectue généralement les paiements moyennant sa carte Maestro, même pour des petits montants. Or, en 2016, il n’a effectué que très peu de paiements dans le canton de Genève, pour autant que cela soit identifiable. Ainsi, alors que l'extrait bancaire des mouvements de compte pour 2016 comprend 18 pages, soit environ 280 opérations, seulement 41 opérations ont été effectuées dans le canton de Genève, ce que le recourant n’a pas contesté au demeurant. Les autres opérations, dans la mesure où elles peuvent être localisées, se situent en majeure partie dans le</w:t>
      </w:r>
    </w:p>
    <w:p>
      <w:r>
        <w:t>A/2045/2018 - 8/10 - canton de Neuchâtel et dans le canton de Vaud, notamment à Lausanne. Il ressort en outre de l'extrait de compte que le recourant a payé plusieurs fois des consommations dans un fitness à Lausanne (J______ Fitness), ce qui constitue un indice qu'il s'y exerce régulièrement. Compte tenu de ces éléments, il convient d’admettre, au degré de la vraisemblance prépondérante, que le centre d’intérêt du recourant ne se trouvait pas à Genève en 2016 et qu’il n’y était dès lors pas domicilié, bénéficiant uniquement d’une boîte aux lettres dans ce canton. Quant à la période de janvier à mai 2017, le recourant a lui-même déclaré qu'il était domicilié chez sa mère. Même si son intention était dans un premier temps de rester seulement provisoirement chez celle-ci, aux dires du recourant, il n'en demeure pas moins qu'il n'avait alors plus de résidence dans le canton de Genève et ne remplissait ainsi plus les conditions légales pour y bénéficier des prestations. Au demeurant, le recourant a allégué avoir payé un loyer à sa mère et a produit les quittances y relatives pour janvier et février 2017, ce qui montre que son intention était bel et bien de s'y domicilier et qu'il ne s'agissait pas d'un hébergement provisoire. Enfin, M. E______ atteste également que le recourant a quitté son domicile le 1er janvier 2017.</w:t>
      </w:r>
    </w:p>
    <w:p>
      <w:r>
        <w:rPr>
          <w:b/>
        </w:rPr>
        <w:t>E. 8</w:t>
      </w:r>
    </w:p>
    <w:p>
      <w:r>
        <w:t>Faute de domicile et de résidence dans le canton de Genève, le recourant ne pouvait plus prétendre aux prestations complémentaires cantonales dans le canton de Genève. Par conséquent, les prestations perçues à ce titre entre le 1er janvier 2016 et le 1er juin 2017 lui ont été versées indûment.</w:t>
      </w:r>
    </w:p>
    <w:p>
      <w:r>
        <w:rPr>
          <w:b/>
        </w:rPr>
        <w:t>E. 9</w:t>
      </w:r>
    </w:p>
    <w:p>
      <w:r>
        <w:t>L'art. 24 al. 1 1ère phrase LPCC prescrit que les prestations indûment touchées doivent être restituées. Selon l'art. 28 LPCC, la restitution peut être demandée dans un délai d'une année à compter de la connaissance du fait qui ouvre le droit à la restitution, mais au plus tard cinq ans après le versement de la prestation. L'obligation de restituer suppose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w:t>
      </w:r>
    </w:p>
    <w:p>
      <w:r>
        <w:rPr>
          <w:b/>
        </w:rPr>
        <w:t>E. 10</w:t>
      </w:r>
    </w:p>
    <w:p>
      <w:r>
        <w:t>En l’occurrence, l’intimé a reçu l’extrait bancaire du compte UBS du recourant pour la période du 1er janvier 2016 au 31 mars 2017, en date du 20 avril 2017. Partant, sa décision du 17 mai 2017, lui réclamant la restitution des prestations indûment perçues, est intervenue dans le délai légal d’une année. Par ailleurs, le fait que le recourant effectue la majeure partie des opérations bancaires dans d'autres cantons que le canton de Genève constitue un fait nouveau permettant de procéder à une révision de la décision initiale.</w:t>
      </w:r>
    </w:p>
    <w:p>
      <w:r>
        <w:t>A/2045/2018 - 9/10 - Par conséquent, l’intimé est en droit de demander la restitution de la somme de CHF 15'659.-.</w:t>
      </w:r>
    </w:p>
    <w:p>
      <w:r>
        <w:rPr>
          <w:b/>
        </w:rPr>
        <w:t>E. 11</w:t>
      </w:r>
    </w:p>
    <w:p>
      <w:r>
        <w:t>Cela étant, le recours sera rejeté.</w:t>
      </w:r>
    </w:p>
    <w:p>
      <w:r>
        <w:rPr>
          <w:b/>
        </w:rPr>
        <w:t>E. 12</w:t>
      </w:r>
    </w:p>
    <w:p>
      <w:r>
        <w:t>La procédure est gratuite. ***</w:t>
      </w:r>
    </w:p>
    <w:p>
      <w:r>
        <w:t>A/2045/2018 - 10/10 -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