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ATAS/801/2014 vom 27. Juni 2014</w:t>
      </w:r>
    </w:p>
    <w:p>
      <w:r>
        <w:t>GE Cour de justice, 2014-06-27, FR</w:t>
      </w:r>
    </w:p>
    <w:p>
      <w:r>
        <w:rPr>
          <w:b/>
        </w:rPr>
        <w:t xml:space="preserve">Quelle: </w:t>
      </w:r>
      <w:r>
        <w:t>https://mcp.opencaselaw.ch/entscheid/ge_gerichte_ATAS_801_2014</w:t>
      </w:r>
    </w:p>
    <w:p>
      <w:r>
        <w:t>FR: GE_GERICHTE ATAS/801/2014 du 27 juin 2014</w:t>
      </w:r>
    </w:p>
    <w:p>
      <w:r>
        <w:t>IT: GE_GERICHTE ATAS/801/2014 del 27 giugno 2014</w:t>
      </w:r>
    </w:p>
    <w:p>
      <w:pPr>
        <w:pStyle w:val="Heading2"/>
      </w:pPr>
      <w:r>
        <w:t>Erwägungen</w:t>
      </w:r>
    </w:p>
    <w:p>
      <w:r>
        <w:rPr>
          <w:b/>
        </w:rPr>
        <w:t>E. 16</w:t>
      </w:r>
    </w:p>
    <w:p>
      <w:r>
        <w:t>Par écriture du 24 juin 2013, l’assuré a interjeté recours contre cette décision en concluant à ce que lui soit octroyée une rente entière d’invalidité, d’une part, et à ce que le montant déduit du rétroactif en faveur de SWICA soit réduit de CHF 8'010.-, d’autre part. S’agissant de sa capacité de travail, le recourant reproche à l’intimé de ne pas avoir tenu compte de l’avis des EPI selon lequel il ne serait plus réinsérable sur le marché du travail. Le recourant allègue que le rapport des EPI est complet, détaillé et qu’il définit concrètement ses limitations. Il relève par ailleurs qu’il a été rendu plus d’un an et demi après le rapport d’expertise rhumatologique du SMR. Il en tire la conclusion qu’il eût fallu procéder à un complément d’instruction plutôt qu’écarter purement et simplement les conclusions du rapport de réadaptation au profit de celles du SMR. Le recourant reproche également à l’intimé de n’avoir pas pris en compte l’aggravation de son état de santé survenue depuis l’examen par le SMR en septembre 2010. A cet égard, il allègue avoir été mis en arrêt de travail à compter</w:t>
      </w:r>
    </w:p>
    <w:p>
      <w:r>
        <w:t>A/2111/2013 - 5/14 - du 2 mai 2011, en raison d’une aggravation de ses douleurs et rappelle que son médecin a d’ailleurs attesté le 14 mai 2012 d’une incapacité de travail définitive en invoquant de nouveaux éléments, à savoir une ostéotomie de varisation du genou gauche en 2010, un retrait de matériel d’ostéosynthèse en 2011 et un syndrome d’apnée complexe. Par ailleurs, il soutient que c’est une réduction de 25% qui aurait dû être appliquée au revenu d’invalide. Selon lui, la réduction appliquée - 15% - ne tient pas suffisamment compte de son âge (57 ans), des années de service, de la réduction du taux d’occupation, de ses limitations fonctionnelles et du fait que seule une activité légère est désormais exigible. Enfin, s’il admet le principe de la compensation avec les avances faites par SWICA, le recourant en conteste le calcul. Il soutient que les rentes versées aux enfants qui ne font pas ménage commun avec lui ne devraient pas être comptées.</w:t>
      </w:r>
    </w:p>
    <w:p>
      <w:r>
        <w:rPr>
          <w:b/>
        </w:rPr>
        <w:t>E. 17</w:t>
      </w:r>
    </w:p>
    <w:p>
      <w:r>
        <w:t>Invité à se déterminer, l’intimé, dans sa réponse du 30 juillet 2013, a conclu au rejet du recours. S’agissant de la capacité de travail du recourant, l’intimé reconnaît pleine valeur probante à l’examen rhumatologique du 22 septembre 2010. Il relève que suite à l’interruption du stage d’orientation professionnelle, le dossier de l’assuré a été soumis une nouvelle fois au SMR qui, en date du 3 septembre 2012 a estimé qu’il n’y avait eu aucune modification en termes de limitations fonctionnelles ou de diagnostics. En effet, les atteintes mentionnées par le recourant étaient déjà connues. Au demeurant, le Dr F______ n’avait pas retenu d’incapacité de travail supplémentaire due au syndrome d’apnées du sommeil. L’intimé en tire la conclusion qu’il n’y a donc pas d’éléments pouvant objectiver une aggravation de l’état de santé de l’assuré. S’agissant de la réduction appliquée au revenu d’invalide, l’intimé relève que les limitations fonctionnelles et le fait que seule une activité légère soit possible ont d’ores et déjà été pris en considération dans l’appréciation de la capacité résiduelle de travail de l’assuré et qu’ils ne sauraient dès lors l’être une seconde fois en tant que facteurs de réduction du salaire statistique. Quant à la compensation du rétroactif avec les avances faites par SWICA, l’intimé s’est référé à l’avis rendu par la caisse de compensation le 17 juillet 2013.</w:t>
      </w:r>
    </w:p>
    <w:p>
      <w:r>
        <w:rPr>
          <w:b/>
        </w:rPr>
        <w:t>E. 18</w:t>
      </w:r>
    </w:p>
    <w:p>
      <w:r>
        <w:t>Par écriture du 24 septembre 2013, l’assuré a précisé que l’aggravation de son état de santé évoquée dans son recours concernait surtout son genou droit : une ostéotomie était prévue début 2014. A l’appui de sa position, il a produit un certificat rédigé le 18 avril 2013 par le Dr G_____, médecin auprès du service de chirurgie orthopédique des Hôpitaux universitaires de Genève (HUG), indiquant : « du côté droit, le patient est pour l’instant peu gêné et souhaite s’accorder un délai de réflexion avant de procéder, éventuellement, au même type d’intervention (ostéotomie)… Vu la clinique actuelle, je pense que nous ne pouvons nous</w:t>
      </w:r>
    </w:p>
    <w:p>
      <w:r>
        <w:t>A/2111/2013 - 6/14 - permettre d’attendre jusqu’en début d’année prochaine en tout cas avant d’envisager une ostéotomie du côté droit ». Quant au montant distrait du rétroactif au profit de SWICA, le recourant a déclaré renoncer à le contester. Pour le reste, il a persisté dans sa demande d’octroi d’une rente entière.</w:t>
      </w:r>
    </w:p>
    <w:p>
      <w:r>
        <w:rPr>
          <w:b/>
        </w:rPr>
        <w:t>E. 19</w:t>
      </w:r>
    </w:p>
    <w:p>
      <w:r>
        <w:t>Par écriture du 24 octobre 2013, l’intimé a émis l’avis que le Dr G______ n’apportait pas d’élément clinique nouveau : les diagnostics mentionnés avaient déjà été pris en compte par le SMR dans ses précédents avis.</w:t>
      </w:r>
    </w:p>
    <w:p>
      <w:r>
        <w:t>EN DROIT</w:t>
      </w:r>
    </w:p>
    <w:p>
      <w:r>
        <w:t>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2. 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 4. Est litigieuse en l’espèce la question de savoir si c’est à juste titre que l’intimé à reconnu au recourant le droit à un trois quarts de rente et non à une rente entière, étant précisé que le montant de la compensation opérée au moyen du rétroactif avec les avances allouées par SWICA n’est plus contesté.</w:t>
      </w:r>
    </w:p>
    <w:p>
      <w:r>
        <w:t>A/2111/2013 - 7/14 - 5.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w:t>
      </w:r>
    </w:p>
    <w:p>
      <w:r>
        <w:t>A/2111/2013 - 8/14 -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w:t>
      </w:r>
    </w:p>
    <w:p>
      <w:r>
        <w:t>A/2111/2013 - 9/14 -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Le recourant fait grief à l'administration d'avoir privilégié l’évaluation médicale du SMR, au détriment de celle des EPI. La fonction d’une observation professionnelle est de compléter les données médicales en examinant concrètement dans quelle mesure l'assuré est à même de mettre en valeur une capacité de travail et de gain sur le marché du travail (voir au surplus, à propos du rôle des COPAI pour l'évaluation de l'invalidité : L'instruction des possibilités de gain des personnes prétendant une rente, compte-rendu d'une séance du 10 novembre 1989 consacrée aux problèmes de l'expertise médicale et professionnelle, RCC 1990 p. 59 ss; Karl ABEGG, Coup d’œil sur l'activité des centres d'observation professionnelle de l'AI [COPAI]; PLÄDOYER 3/2004 p. 64 ; ATFA I 540/03 du 10 novembre 2004 consid. 4.1 ; ATFA I 220/04 du 20 septembre 2004, consid. 4.2) Le médecin, quant à lui, a pour tâche de porter un jugement sur l'état de santé et d’indiquer dans quelle mesure et pour quelles activités l'assuré est incapable de travailler. Selon la jurisprudence,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 personne assurée pendant le stage (arrêt 9C_891/2012 du 5 avril 2013 consid. 3; arrêt I 762/02 du 6 mai 2003 consid. 2). En d’autres termes, il appartient avant tout aux médecins, et non aux spécialistes de l'orientation professionnelle, de se prononcer sur la capacité de travail d'un assuré souffrant d'une atteinte à la santé et sur les éventuelles limitations résultant de celle- 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w:t>
      </w:r>
    </w:p>
    <w:p>
      <w:r>
        <w:t>A/2111/2013 - 10/14 - conformément au principe de la libre appréciation des preuves - de confronter les deux évaluations et, au besoin de requérir un complément d'instruction (arrêts 9C_1035/2009 du 22 juin 2010 consid. 4.1, in SVR 2011 IV n° 6 p. 17; 9C_833/2007 du 4 juillet 2008, in Plädoyer 2009/1 p. 70; I 35/03 du 24 octobre 2003 consid. 4.3 et les références, in Plädoyer 2004/3 p. 64). En l’espèce, cependant, on relèvera que les conclusions du médecin du SMR quant à une capacité de travail résiduelle de 50% dans une activité adaptée ont été corroborées par plusieurs autres médecins (le Dr C______ lui-même, en novembre 2009, le Dr B______, en septembre 2009, le Dr D______, en février 2010). Contrairement à ce qu’allègue le recourant, il n’y a par ailleurs pas d’éléments objectifs corroborant une aggravation de son état de santé entre l’examen du SMR et l’interruption du stage : les atteintes aux genoux avaient déjà été prises en compte par les experts s’étant précédemment exprimés. Au demeurant le Dr G______ relève que l’assuré est « peu gêné » par l’atteinte à son genou droit. Quant aux apnées, elles se sont révélées sans incidence supplémentaire sur la capacité de travail. Dans ces circonstances, on ne saurait reprocher à l’intimé de n’avoir pas mis en œuvre un complément d’instruction. C’est à juste titre qu’il a suivi les conclusions du Dr E______ et admis une capacité résiduelle de travail de 50%. La valeur probante de l’avis du médecin du SMR n’est d’ailleurs pas à proprement parler contestée par le recourant, qui invoque simplement une aggravation postérieure de son état de santé, aggravation dont il a été indiqué supra qu’elle n’était corroborée par aucun élément médical objectif. Il suit de ce qui précède que la Cour ne peut que se fonder sur les conclusions du rapport d’examen du SMR et conclure à une capacité de 50% dans une activité adaptée telle que décrite par les médecins. 10. Il convient à présent de se prononcer sur le calcul du taux d'invalidité effectué par l'intimé.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w:t>
      </w:r>
    </w:p>
    <w:p>
      <w:r>
        <w:t>A/2111/2013 - 11/14 - 2b;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la Cour de céans constate que l’intimé a comparé le revenu avant invalidité – soit CHF 77'521.- (revenu annuel 2007 actualisé) -, non contesté, à celui que l’assuré aurait pu obtenir la même année selon les statistiques, que l’intimé a évalué à CHF 31'341.-. Pour déterminer le revenu après invalide, l’intimé s’est référé à l’ESS 2010, TA1, niveau 3. Le niveau 3 (correspondant à des « connaissances professionnelles spécialisées ») a été retenu au motif que « l’assuré peut utiliser des compétences transversales », ce qui laisse perplexe dans la mesure où les EPI ont retenu à titre d’activités envisageables celles d’ouvrier de production ou d’ouvrier à l’établi, qu’ils ont souligné que l’assuré avait du mal à effectuer des tâches complexes et</w:t>
      </w:r>
    </w:p>
    <w:p>
      <w:r>
        <w:t>A/2111/2013 - 12/14 - qu’on voit mal en quoi l’expérience professionnelle acquise par l’assuré en tant que chef de cuisine pourrait lui être utile en usine. C’est donc bien plutôt au niveau 4 du tableau statistique, correspondant aux activités simples et répétitives, qu’il convient de se référer, ce qui conduit à un revenu de CHF 30'582.- pour une activité à 50% (TA1, niveau 4 = CHF 4'901.- par mois pour un horaire de 40h./sem. = CHF 5'097.- par mois pour un horaire de 41,6h./sem. en 2010 = CHF 61'164.- pour un plein temps). Reste à examiner si la réduction de 15% appliquée par l’intimé est équitable. En effet, le recourant soutient que c’est une réduction de 25% qui aurait dû être appliquée, pour tenir compte de son âge, des années de service, de la réduction du taux d’occupation, de ses limitations fonctionnelles et du fait que seule une activité légère est désormais exigible. Sur ce point, l’intimé défend l’opinion qu’une réduction de 15% est suffisante, puisque les limitations fonctionnelles et le fait que seule une activité légère soit possible auraient d’ores et déjà été pris en considération dans l’appréciation de la capacité résiduelle de travail de l’assuré et qu’ils ne sauraient dès lors l’être une seconde fois en tant que facteurs de réduction du salaire statistique.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On ne saurait donc s'en écarter que si elle a été fixée en retenant des critères inappropriés, en ne tenant pas compte de circonstances pertinentes, en ne procédant pas à un examen complet des circonstances pertinentes ou en n'usant pas de critères objectifs (cf. ATF 130 III 176 consid. 1.2 p. 180). Contrairement à ce que soutient l’intimé, on ne voit pas que le nombre important de limitations fonctionnelles a été pris en compte dans l’évaluation de la capacité de travail puisque celle de 50% retenue correspond à celle fixée par les médecins, étant précisé qu’un nombre de limitations pour le moins important s’y ajoute selon le médecin du SMR (éviter le port de charges de plus de 5 kg, les activités en hauteur, les mouvements d’antépulsion ou d’abduction, les positions statiques prolongées en</w:t>
      </w:r>
    </w:p>
    <w:p>
      <w:r>
        <w:t>A/2111/2013 - 13/14 - flexion-extension du rachis cervical, les mouvements brusques de rotation du rachis cervical, la position statique assise au-delà de 45 mn., les montées et descentes d’escaliers, les génuflexions, la marche sur terrain instable, les positions statiques de type piétinement, alterner les positions au moins une fois par heure, limiter le périmètre de marche à environ 15-20 minutes).</w:t>
      </w:r>
    </w:p>
    <w:p>
      <w:r>
        <w:t>Il faut en outre tenir compte en l’occurrence de l’âge du recourant – 55 ans en 2010 -, du fait qu’il a toujours exercé comme chef de cuisine auparavant – et qu’il lui faudra donc fournir un effort conséquent pour pouvoir se réinsérer dans une autre activité, effort souligné par les EPI – et que seule une activité à taux réduit est désormais envisageable.</w:t>
      </w:r>
    </w:p>
    <w:p>
      <w:r>
        <w:t>Le taux de 15% retenu par l’intimé ne correspond donc pas à un examen complet des circonstances pertinentes. Au vu de l’ensemble des circonstances du cas d’espèce, le taux de 25% sollicité par le recourant ne paraît pas exagéré.</w:t>
      </w:r>
    </w:p>
    <w:p>
      <w:r>
        <w:t>Le revenu après invalidité s’établit ainsi à CHF 22'936.50, ce qui, comparé au revenu avant invalidité, conduit à un degré d’invalidité de 70.41%, suffisant pour ouvrir droit à une rente entière.</w:t>
      </w:r>
    </w:p>
    <w:p>
      <w:r>
        <w:t>En ce sens, le recours est admis.</w:t>
      </w:r>
    </w:p>
    <w:p>
      <w:r>
        <w:t>A/2111/2013 - 14/14 -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