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ATAS/7/2019 vom 8. Januar 2019</w:t>
      </w:r>
    </w:p>
    <w:p>
      <w:r>
        <w:t>GE Cour de justice, 2019-01-08, FR</w:t>
      </w:r>
    </w:p>
    <w:p>
      <w:r>
        <w:rPr>
          <w:b/>
        </w:rPr>
        <w:t xml:space="preserve">Quelle: </w:t>
      </w:r>
      <w:r>
        <w:t>https://mcp.opencaselaw.ch/entscheid/ge_gerichte_ATAS_7_2019</w:t>
      </w:r>
    </w:p>
    <w:p>
      <w:r>
        <w:t>FR: GE_GERICHTE ATAS/7/2019 du 8 janvier 2019</w:t>
      </w:r>
    </w:p>
    <w:p>
      <w:r>
        <w:t>IT: GE_GERICHTE ATAS/7/2019 del 8 gennaio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À titre préalable, il convient d’examiner si la décision directement adressée à la recourante a été régulièrement notifiée, respectivement si le recours a été formé dans le délai légal.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 SVR 2009 UV n° 16 p. 62 ; RAMA 1997 n° U 288 p. 442 consid. 2b). La notification irrégulière d'une décision ne doit entraîner aucun préjudice pour l'intéressé (art. 49 al. 3, 3ème phrase, LPGA).</w:t>
      </w:r>
    </w:p>
    <w:p>
      <w:r>
        <w:t>A/325/2018 - 11/20 - Le délai de recours est de trente jours (art. 60 al. 1 LPGA et art. 62 al. 1 let. a de la loi sur la procédure administrative du 12 septembre 1985 [LPA - E 5 10]). Le délai de recours court dès le lendemain de la notification de la décision (art. 62 al. 3 LPA-GE et dans le même sens art. 38 al. 1 LPGA). b. La jurisprudence n'attache pas nécessairement la nullité à l'existence de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arrêt du Tribunal fédéral 9C_646/2017 du 9 mars 2018 consid. 4.2 et les références). Le délai de recours est respecté lorsque le recourant agit dans les trente jours à compter du moment où il pouvait de bonne foi prendre connaissance de la décision contestée (ATF 102 Ib 91 consid. 4 ; ATF 98 Ib 13 consid. 4 ; ATF 96 I 686 consid. 1d ; arrêt du Tribunal fédéral 2C_318/2009 du 10 décembre 2009 consid. 3.3). c. Selon la doctrine, lorsque l’administré a un mandataire connu de l’autorité, celle-ci ne peut pas notifier directement et uniquement la décision à l’administré ; le délai (de recours) ne court qu’à partir de la nouvelle notification au mandataire. Dès que l’administré ou son mandataire prend connaissance de l’irrégularité de la notification, il doit demander en temps utile une autre notification régulière, faute de quoi son comportement est contraire à la bonne foi et fait courir le délai de recours (JAAC 2000 n° 45 p. 557 (a) ; Benoît BOVAY, Procédure administrative, 2015, p. 377).</w:t>
      </w:r>
    </w:p>
    <w:p>
      <w:r>
        <w:rPr>
          <w:b/>
        </w:rPr>
        <w:t>E. 4</w:t>
      </w:r>
    </w:p>
    <w:p>
      <w:r>
        <w:t>En l’espèce, bien que le mandataire se soit constitué pour la défense de la recourante en précisant, le 19 octobre 2017, que sa cliente élisait domicile en son étude, l’intimé a notifié sa décision du 7 décembre 2017 directement à la recourante. Cette notification est irrégulière puisque ladite décision n’a pas été envoyée au domicile élu de la recourante chez son avocat, bien que l’intimé avait eu connaissance avant son envoi que celle-ci était représentée par un mandataire avec élection de domicile. En l’occurrence, à réception du projet de décision de l’intimé, la recourante a consulté un avocat et l’a chargé de contester ledit projet. Puis, après avoir eu connaissance de l’existence de ladite décision, à savoir à réception du courrier de l’intimé du 12 décembre 2017 précisant que la recourante avait été mise au bénéfice d’une rente d’invalidité selon décision du 7 décembre 2017, le mandataire a demandé à l’intimé par courrier du 27 décembre 2017 de lui transmettre cette décision qui lui a été notifiée le 9 janvier 2018. Le mandataire ayant reçu ladite</w:t>
      </w:r>
    </w:p>
    <w:p>
      <w:r>
        <w:t>A/325/2018 - 12/20 - décision le 10 janvier 2018, le recours déposé le 29 janvier 2018 a été formé dans les trente jours à compter du moment où il pouvait de bonne foi prendre connaissance de la décision contestée, étant précisé que le délai de recours a été suspendu du 18 décembre 2017 au 2 janvier 2018 (art. 38 al. 4 let. c LPGA et art. 89C let. c LPA). Interjeté dans la forme et le délai prévus par la loi, le recours est recevable (art. 56 ss LPGA et 89B LPA-GE).</w:t>
      </w:r>
    </w:p>
    <w:p>
      <w:r>
        <w:rPr>
          <w:b/>
        </w:rPr>
        <w:t>E. 5</w:t>
      </w:r>
    </w:p>
    <w:p>
      <w:r>
        <w:t>Est litigieux le taux d’invalidité fondant le droit à la rente et plus particulièrement le statut et les empêchements dans les activités ménagères de la recourante.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w:t>
      </w:r>
    </w:p>
    <w:p>
      <w:r>
        <w:t>A/325/2018 - 13/20 -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w:t>
      </w:r>
    </w:p>
    <w:p>
      <w:r>
        <w:t>A/325/2018 - 14/20 - consid. 5.2.3 ;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A/325/2018 - 15/20 -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Tant lors de l'examen initial du droit à la rente qu'à l'occasion d'une révision de celle-ci (art. 17 LPGA), il faut examiner sous l'angle des art. 4 et 5 LAI quelle</w:t>
      </w:r>
    </w:p>
    <w:p>
      <w:r>
        <w:t>A/325/2018 - 16/20 -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12</w:t>
      </w:r>
    </w:p>
    <w:p>
      <w:r>
        <w:t>En l’espèce, l’intimé est entré en matière sur la nouvelle demande de prestations de la recourante et lui a accordé une demi-rente d’invalidité dès le 1er janvier 2017 calculée sur la base d’un statut mixte avec activité professionnelle et activité ménagère exercées chacune à 50 %. La recourante conteste au vu de sa situation financière que sans invalidité, elle n’aurait travaillé qu’à raison de 50 % comme le retient la décision litigieuse. En l’occurrence, dans ladite décision, l’intimé aboutit à un tel résultat compte tenu notamment de l’absence de formation professionnelle de la recourante, de l’absence d’exercice d’une activité professionnelle à 100 %, de la teneur de ses CI qui font état de cotisations soit comme personne sans activité lucrative, soit comme salariée mais pour de faibles revenus, de la mention dans les demandes AI qu’elle était femme au foyer depuis 2004 et du fait que la recourante ne détient aucune preuve de recherches d’emplois à temps complet.</w:t>
      </w:r>
    </w:p>
    <w:p>
      <w:r>
        <w:t>A/325/2018 - 17/20 - Ce faisant, il ne tient pas compte des troubles psychiques incapacitants de la recourante, à savoir un trouble dépressif récurrent, épisode actuel moyen, avec syndrome somatique présent depuis 2008 et une personnalité émotionnellement labile, type borderline, présente depuis le début de l’âge adulte. Or, selon le rapport d’expertise du Dr I______ dont les parties admettent à juste titre la valeur probante, la coexistence de ces deux troubles a un effet délétère sur le niveau d’activité. L’absence d’activité professionnelle renforce le schéma d’isolement et d’évitement des interactions. Ce cercle vicieux favorise l’intensification et la chronification du tableau dépressif avec des épisodes de plus en plus intenses et durables. L’impact des troubles psychiques sur le niveau d’activité est important. Vu la coexistence d’un trouble dépressif et d’un trouble de la personnalité, cet impact dépend fortement de la situation relationnelle de la recourante. Même si celle-ci a pu avoir une activité professionnelle en 2009 et 2010 après l’apparition du trouble dépressif, toutefois, eu égard à la présence du trouble de la personnalité borderline, la situation problématique au niveau du couple ne lui a pas permis d’avoir la stabilité psychique nécessaire pour poursuivre l’activité. La recourante présente une diminution de la motivation et de l’énergie ainsi qu’une tendance à l’isolement social. Par conséquent, il lui est difficile de mener à terme les démarches nécessaires pour trouver un travail. Les éléments constatés au niveau de sa personnalité compliquent les relations avec les autres et rendent les démarches de réadaptation encore plus difficiles. En définitive, selon les précisions apportées par le rapport d’expertise, les troubles psychiques de la recourante l’empêchent de mener à terme les démarches nécessaires pour trouver un travail, en raison d’une diminution de la motivation et de l’énergie ainsi qu’une tendance à l’isolement social. Par ailleurs, la recourante a à plusieurs reprises tenté de travailler, mais sans succès eu égard à ses troubles psychiatriques et du comportement. Par conséquent, au degré de la vraisemblance prépondérante, ce sont ses troubles psychiques et sa situation conjugale – ce d’autant plus que son second mari n’a pas voulu qu’elle travaille – qui l’ont empêchée d’exercer une activité lucrative régulière. Aussi, pour apprécier la question du statut de la recourante, il n’est pas possible de se baser sur ses taux d’activité antérieurs, sur les revenus et cotisations mentionnés dans les CI et sur les démarches qu’elle a faites pour trouver un emploi. Au demeurant, lors de son inscription auprès de l’assurance-chômage en novembre 2004, elle a indiqué rechercher un emploi à 100 %, ce qui établit que sans troubles psychiques, elle aurait exercé une activité lucrative à 100 % à cette époque. Dans un tel cas de troubles psychiques qui rendent difficiles les démarches nécessaires pour trouver un travail ou empêchent de les mener à termes, il convient de se fonder principalement sur les déclarations de la recourante et sa situation financière. Il ressort du dossier de l’intimé que même si celui-ci ne l’a pas directement interrogée sur le taux d’activité auquel elle aurait travaillé si elle n’avait pas été atteinte dans sa santé, la recourante a cependant eu l’occasion de</w:t>
      </w:r>
    </w:p>
    <w:p>
      <w:r>
        <w:t>A/325/2018 - 18/20 - s’exprimer sur cette question pour la première fois lors de l’enquête ménagère du</w:t>
      </w:r>
    </w:p>
    <w:p>
      <w:r>
        <w:rPr>
          <w:b/>
        </w:rPr>
        <w:t>E. 14</w:t>
      </w:r>
    </w:p>
    <w:p>
      <w:r>
        <w:t>avril 2014. Elle a alors déclaré que sans atteinte à la santé, elle aurait travaillé à 100 %. Le fait que dans ses deux demandes de prestations AI, la recourante ait indiqué qu’elle était femme au foyer depuis 2004 n’est pas relevant pour déterminer son statut dès lors qu’elle n’a fait que retranscrire sa situation effective – et non celle sans atteinte à la santé – et que le formulaire ne contient aucune rubrique quant au taux d’activité professionnelle qui serait exercé sans invalidité. En outre, selon l’enquête ménagère, la recourante, née en 1980, est mère de deux enfants, âgés de douze et quatre ans au moment de la décision litigieuse. Elle a dépendu financièrement de son premier mari, dont elle a divorcé en janvier 2012, puis elle s’est remariée en 2014 avant de se séparer de son second mari, en été 2015, dont elle ne peut plus depuis lors compter sur son aide financière. Elle perçoit une pension pour son fils aîné de CHF 782.- et des allocations familiales s’élevant à CHF 600.-. Depuis le 1er août 2012, elle dépend financièrement de l’HG. Au vu de sa situation financière, elle a vendu sa voiture. Étant donné que la recourante est divorcée de son premier mari depuis janvier 2012 et séparée de second mari depuis l’été 2015, qu’elle élève seule ses deux enfants de cinq et treize ans, qui mangent à midi à la crèche et à l’école, il est constant que ses charges ont augmenté de façon substantielle depuis lesdites séparations et qu’elle n’est plus en mesure de les assumer seule au point de devoir se faire assister par l’HG. Par conséquent, il est hautement vraisemblable que par nécessité matérielle, la recourante aurait travaillé à plus de 50 % au moins depuis l’été 2015 sans les atteintes invalidantes. Le fait qu’elle soit divorcée de son premier mari et séparée de son second époux sans que ceux-ci ne lui versent une pension alimentaire est un élément supplémentaire pour admettre que la recourante, en bonne santé, aurait travaillé à plus de 50 % (cf. à cet égard l’arrêt du Tribunal fédéral 9C_435/2013 du 27 septembre 2013). Au vu de l’âge de son fils cadet, qui est petit et nécessite encore une présence ainsi qu’une assistance de la part de sa mère, il apparaît vraisemblable que la recourante aurait travaillé à moins de 100 % mais à plus de 50 %. Dans son mémoire de recours, elle mentionne à titre subsidiaire un taux d’activité de 80 % qui est plausible. Quoi qu’il en soit, il n’y a pas lieu d’approfondir davantage cette question car même en retenant un taux minimum d’activité professionnelle de 70 %, la recourante a droit à une rente entière d’invalidité. En effet, l’ensemble de ces circonstances, économiques, familiales et professionnelles permet d’admettre, au stade de la vraisemblance prépondérante usuel en droit des assurances sociales que, sans invalidité, la recourante aurait exercé une activité professionnelle d’au moins 70 % et que son statut est mixte, à savoir de 70 % en tant que personne exerçant une activité lucrative et de 30 % comme personne exerçant ses activités habituelles.</w:t>
      </w:r>
    </w:p>
    <w:p>
      <w:r>
        <w:t>A/325/2018 - 19/20 - La recourante conteste les empêchements retenus par l’enquête ménagère dans les travaux habituels et allègue que ceux-ci s’élèvent à 50 % pour chacun des divers postes, selon le rapport de la Dresse D______ du 24 avril 2018. En l’espèce, dans son rapport du 24 avril 2018, la Dresse D______ justifie le taux d’empêchements de 50 % allégué par la recourante en se référant à une appréciation moyenne sur une longue durée et non à une évaluation ponctuelle. Elle motive son appréciation de façon toute générale en se référant aux divers troubles présentés par la recourante, notamment des douleurs fluctuantes, alors que celles-ci ne sont pas invalidantes au regard de la décision de l’intimé du 5 novembre 2013, entrée en force. Faute d’expliquer de façon précise et détaillée quels sont les empêchements de la recourante dans les diverses tâches du ménage, son rapport médical n’a pas de valeur probante. Dans un tel cas, il n’est pas utile d’établir plus précisément les empêchements de la recourante dans ses activités habituelles, car même en se basant sur ceux admis par l’intimé à la suite de l’enquête ménagère, à savoir 3,6 %, elle a droit à une rente entière d’invalidité au regard du degré d’invalidité d’au moins 71 % ([100 % x 70 %] + [3,6 % x 20 %] = 70 + 0,72), qui donne droit à une rente entière d’invalidité (art. 28 al. 2 LAI). Cette issue rend superflue l’analyse des autres griefs soulevés par la recourante. 13. Il se justifie, en conséquence, d’admettre le recours, de reconnaître le droit de la recourante à une rente entière d’invalidité dès le 1er janvier 2017 et d’annuler partiellement la décision du 7 décembre 2017. La recourante étant représentée par un avocat et obtenant gain de cause, une indemnité de CHF 2'000.- lui sera accordée à titre de participation à ses frais et dépens (art. 61 let. g LPGA ; art. 6 du règlement sur les frais, émoluments et indemnités en matière administrative du 30 juillet 1986 [RFPA - E 5 10.03]), et ce quand bien même elle est au bénéfice de l’assistance juridique. Etant donné que depuis le 1er juillet 2006 la procédure n’est plus gratuite (art. 69 al. 1bis LAI), au vu du sort du recours, il y a lieu de condamner l’intimé au paiement d'un émolument de CHF 300.-. * * * * * *</w:t>
      </w:r>
    </w:p>
    <w:p>
      <w:r>
        <w:t>A/325/2018 - 20/20 -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