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ATAS/7/2016 vom 11. Januar 2016</w:t>
      </w:r>
    </w:p>
    <w:p>
      <w:r>
        <w:t>GE Cour de justice, 2016-01-11, FR</w:t>
      </w:r>
    </w:p>
    <w:p>
      <w:r>
        <w:rPr>
          <w:b/>
        </w:rPr>
        <w:t xml:space="preserve">Quelle: </w:t>
      </w:r>
      <w:r>
        <w:t>https://mcp.opencaselaw.ch/entscheid/ge_gerichte_ATAS_7_2016</w:t>
      </w:r>
    </w:p>
    <w:p>
      <w:r>
        <w:t>FR: GE_GERICHTE ATAS/7/2016 du 11 janvier 2016</w:t>
      </w:r>
    </w:p>
    <w:p>
      <w:r>
        <w:t>IT: GE_GERICHTE ATAS/7/2016 del 11 gennaio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à une rente d’invalidité.</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5</w:t>
      </w:r>
    </w:p>
    <w:p>
      <w:r>
        <w:t>Est réputée invalidité, l'incapacité de gain totale ou partielle présumée permanente ou de longue durée, résultant d'une infirmité congénitale, d'une maladie ou d'un</w:t>
      </w:r>
    </w:p>
    <w:p>
      <w:r>
        <w:t>A/3059/2015 - 11/17 -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8</w:t>
      </w:r>
    </w:p>
    <w:p>
      <w:r>
        <w:t>a) Chez les assurés travaillant dans le ménage, il convient d’évaluer l’invalidité dans les travaux habituels par comparaison des activités (art. 27 RAI) ;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w:t>
      </w:r>
    </w:p>
    <w:p>
      <w:r>
        <w:t>A/3059/2015 - 12/17 -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c)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d) En présence de troubles d'ordre psychique, et en cas de divergences entre les résultats de l'enquête économique sur le ménage et les constatations d'ordre médical relatives à la capacité d'accomplir les travaux habituels, celles-ci ont, en règle</w:t>
      </w:r>
    </w:p>
    <w:p>
      <w:r>
        <w:t>A/3059/2015 - 13/17 - générale, plus de poids que l'enquête à domicile (VSI 2004 p. 137 consid. 5.3 déjà cité). e) Pour satisfaire à l'obligation de réduire le dommage (voir ATF 129 V 463 consid.</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A/3059/2015 - 14/17 -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10</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w:t>
      </w:r>
    </w:p>
    <w:p>
      <w:r>
        <w:t>A/3059/2015 - 15/17 - SVR 2010 IV n. 49 p. 151, consid. 3.5; arrêt du Tribunal fédéral 8C_760/2011 du 26 janvier 2012 consid. 3).</w:t>
      </w:r>
    </w:p>
    <w:p>
      <w:r>
        <w:rPr>
          <w:b/>
        </w:rPr>
        <w:t>E. 12</w:t>
      </w:r>
    </w:p>
    <w:p>
      <w:r>
        <w:t>En l’espèce, à la suite de l’arrêt du Tribunal fédéral du 16 octobre 2014, l’intimé a fait procéder à une enquête ménagère dont le rapport a été rendu le 27 janvier 2015 ; ce rapport a fondé la décision de refus de toute prestation du 7 juillet 2015. La chambre de céans constate cependant que l’intimé n’a pas obtempéré aux instructions du Tribunal fédéral, lequel avait clairement renvoyé la cause à l’intimé afin qu’il complète l’instruction au sens des considérants et rende une nouvelle décision en réalisant une enquête ménagère et en constituant un dossier médical concernant l’impact des atteintes à la santé dans la sphère ménagère. A cet égard, le rapport du SMR du 29 avril 2015, qui se borne à relever que les constatations de l’enquête sont compatibles avec les constatations médicales, ne remplit manifestement pas les critères d’un avis médical relatif aux impacts des atteintes à la santé dans la sphère ménagère. En outre, en cas de trouble psychique, comme c’est le cas en l’espèce, s’il existe des divergences entre les constatations d’ordre médical relatives à la capacité d’accomplir les travaux habituels, celles-ci ont en règle générales plus de poids que l’enquête à domicile ; or, en l’espèce, de telles constatations médicales ne figurent pas dans le dossier, faute pour l’intimé de les avoir requises. Enfin, l’enquête ménagère se réfère aux éléments retenus par le SMR, en déclarant qu’ils font foi, sans expliquer pour quels motifs ceux de l’expertise judiciaire ne sont pas pertinents et tout en se fondant néanmoins sur ceux-ci (enquête ménagère p. 4 – 8). Pour ces motifs, la décision litigieuse doit être annulée et la cause renvoyée à l’intimé afin qu’il procède à l’instruction médicale selon l’arrêt du Tribunal fédéral précité. A cet égard, la chambre de céans a procédé à une expertise psychiatrique judiciaire. Le rapport d’expertise du Dr O______, en tant qu’il pose les diagnostics actuels et évalue la capacité de travail de la recourante, répond à tous les réquisits de la jurisprudence pour qu’il lui soit reconnu une pleine valeur probante. Les plaintes de la recourante sont relatées en détail, tout comme le sont l’anamnèse et la vie sociale et quotidienne de cette dernière. Les constatations objectives sont complètes et la discussion du cas est très approfondie et bien motivée. Chaque diagnostic posé ou écarté est discuté et des explications claires sont dispensées sur les raisons qui ont amené l’expert à le poser ou à l’écarter. L’expertise a été complétée par une analyse de taux plasmatiques et un entretien téléphonique avec le psychiatre traitant. Enfin l’expert a motivé les raisons qui lui permettaient de confirmer ou d’infirmer les rapports des médecins traitants ou des autres experts ayant été amené à rendre des avis sur l’état de santé de la recourante et l’évaluation de la capacité de travail de celle-ci. Au vu de ce qui précède, il paraît judicieux de demander des informations complémentaires à l’expert judiciaire, lequel a examiné l’assurée plus récemment que le Dr J______ et a une parfaite connaissance du dossier de la recourante ; il incombera ainsi à l’intimé de requérir auprès du Dr O______ une expertise</w:t>
      </w:r>
    </w:p>
    <w:p>
      <w:r>
        <w:t>A/3059/2015 - 16/17 - complémentaire concernant l’impact des atteintes à la santé de la recourante sur les activités ménagères.</w:t>
      </w:r>
    </w:p>
    <w:p>
      <w:r>
        <w:rPr>
          <w:b/>
        </w:rPr>
        <w:t>E. 13</w:t>
      </w:r>
    </w:p>
    <w:p>
      <w:r>
        <w:t>Au vu du sort du recours, il est superflu d’examiner le grief de la recourante de violation de son droit d’être entendue.</w:t>
      </w:r>
    </w:p>
    <w:p>
      <w:r>
        <w:rPr>
          <w:b/>
        </w:rPr>
        <w:t>E. 14</w:t>
      </w:r>
    </w:p>
    <w:p>
      <w:r>
        <w:t>Au vu de ce qui précède, le recours sera partiellement admis et la décision du 7 juillet 2015 de l’intimé sera annulée. La recourante obtenant partiellement gain de cause, une indemnité de CHF 2'500.-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A/3059/2015 - 17/17 -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