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ATAS/7/2015 vom 5. Januar 2015</w:t>
      </w:r>
    </w:p>
    <w:p>
      <w:r>
        <w:t>GE Cour de justice, 2015-01-05, FR</w:t>
      </w:r>
    </w:p>
    <w:p>
      <w:r>
        <w:rPr>
          <w:b/>
        </w:rPr>
        <w:t xml:space="preserve">Quelle: </w:t>
      </w:r>
      <w:r>
        <w:t>https://mcp.opencaselaw.ch/entscheid/ge_gerichte_ATAS_7_2015</w:t>
      </w:r>
    </w:p>
    <w:p>
      <w:r>
        <w:t>FR: GE_GERICHTE ATAS/7/2015 du 5 janvier 2015</w:t>
      </w:r>
    </w:p>
    <w:p>
      <w:r>
        <w:t>IT: GE_GERICHTE ATAS/7/2015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Interjeté dans la forme et le délai prévus par la loi, le recours est recevable (art. 56ss LPGA).</w:t>
      </w:r>
    </w:p>
    <w:p>
      <w:r>
        <w:rPr>
          <w:b/>
        </w:rPr>
        <w:t>E. 4</w:t>
      </w:r>
    </w:p>
    <w:p>
      <w:r>
        <w:t>Dans la procédure administrative, l'objet du litige est le rapport juridique qui - dans le cadre de l'objet de la contestation déterminé par la décision - constitue, d'après les conclusions du recours, l'objet de la décision effectivement attaqué (arrêt du Tribunal fédéral 9C_197/2007 du 27 mars 2008 consid. 1.2). En l'espèce, la décision querellée porte uniquement sur le droit à la formation professionnelle initiale si bien que le droit à la rente ne fait pas partie du litige et la Cour de céans n’a pas à statuer sur ce point. Cela étant, comme le souligne à juste titre la recourante, sa demande du 10 mars 2011 ne se limitait pas à des mesures d’ordre professionnel de sorte qu’il y a lieu d’inviter l’intimé à statuer cas échéant sur le droit à la rente.</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w:t>
      </w:r>
    </w:p>
    <w:p>
      <w:r>
        <w:t>A/1514/2014 - 9/13 -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rPr>
          <w:b/>
        </w:rPr>
        <w:t>E. 6</w:t>
      </w:r>
    </w:p>
    <w:p>
      <w:r>
        <w:t>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w:t>
      </w:r>
    </w:p>
    <w:p>
      <w:r>
        <w:rPr>
          <w:b/>
        </w:rPr>
        <w:t>E. 7</w:t>
      </w:r>
    </w:p>
    <w:p>
      <w:r>
        <w:t>Selon l'art. 28 al. 2 LPGA, celui qui fait valoir son droit à des prestations doit fournir gratuitement tous les renseignements nécessaires pour établir ce droit et fixer les prestations dues. Aux termes de l'art. 43 al. 1 1ère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w:t>
      </w:r>
    </w:p>
    <w:p>
      <w:r>
        <w:t>A/1514/2014 - 10/13 - vraisemblance prépondérante, à la réalité (ATF 117 V 261 consid. 3b ; arrêt du Tribunal fédéral 9C_632/2012 du 10 janvier 2013 consid. 6.2.1). L’art. 43 al. 3 LPGA prévoit deux sanctions à la violation de l’obligation de collaborer : l’administration peut statuer en l’état du dossier ou refuser d’entrer en matière. La loi ne donne aucune indication sur le choix à opérer entre ces deux sanctions. Toutefois, selon la pratique, il y a lieu d’user de la possibilité de refuser d’entrer en matière avec retenue. Lorsque les pièces du dossier permettent une décision matérielle, il n’y a pas lieu de rendre une décision de refus d’entrer en matière. Un refus d’entrer en matière a une portée particulière dans les cas où la violation du devoir de collaborer porte sur une condition de recevabilité. En revanche, cette sanction n’est pas admissible lorsque l’état de fait pertinent peut être établi sans difficultés et sans effort particuliers malgré le défaut de collaboration (Ueli KIESER, ATSG-Kommentar: Kommentar zum Bundesgesetz über den Allgemeinen Teil des Sozialversicherungsrechts vom 6. Oktober 2000, 2ème éd., Zurich 2009, n. 53 ad art. 43). En tous les cas, il y a lieu de préférer la variante la plus favorable à l’assuré (ATF 108 V 229 consid. 2). Lorsque l’assuré refuse de collaborer à une procédure de révision des prestations, l'art. 43 al. 3 LPGA prévoit que l'administration est en droit de se prononcer en l'état du dossier, l'alternative du refus d'entrer en matière n'étant pas pertinente dans un tel cas. L’administration ne peut alors se contenter d'examiner la situation sous l'angle du seul refus de collaboration de l'assuré, mais doit procéder à une évaluation du point de vue matériel à la lumière des pièces au dossier (SVR 2007 IV n° 48 consid. 7 ; arrêt du Tribunal fédéral 9C_961/2008 du 30 novembre 2009 consid. 6.3.2). Selon la Circulaire sur l’invalidité et l’impotence dans l’assurance-invalidité éditée par l’Office fédéral des assurances sociales dans sa version en vigueur le 1er janvier 2013, on estime que l’assuré ne respecte pas son obligation de réduire le dommage ou celle de renseigner et de collaborer si son comportement est inexcusable. Du point de vue subjectif, il faut qu’il puisse être tenu pour responsable de son comportement. Cette condition manque par exemple quand, en raison d’une maladie ou d’une débilité mentale, il n’est pas capable de voir les conséquences de ses actes ou de se conduire de manière sensée (CIIAI, ch. 7010). La violation de l’obligation de renseigner doit être fautive (KIESER, op. cit., n. 51 ad art. 43). On rappellera ici qu’une personne incapable de discernement ne répond pas de sa faute objective, sauf aux conditions de l’art. 54 du code des obligations – disposition qui ne trouve pas application dans le cas d’espèce (CO ; RS 220) (Franz WERRO, Commentaire romand, Code des obligations I, 2ème éd. 2012, n. 64 ad art. 41 CO).</w:t>
      </w:r>
    </w:p>
    <w:p>
      <w:r>
        <w:rPr>
          <w:b/>
        </w:rPr>
        <w:t>E. 8</w:t>
      </w:r>
    </w:p>
    <w:p>
      <w:r>
        <w:t>En l’espèce, ce n’est formellement pas une décision de non entrée en matière mais une décision sur le fond que l’intimé a rendue. On rappelle en effet qu’il a affirmé dans son projet de décision du 10 septembre 2013 qu’il statuait en l’état du dossier et qu’il a indiqué dans la décision querellée, intitulée « Refus de formation professionnelle initiale » et non « Refus d’entrer en matière », que les éléments produits ne modifiaient pas sa précédente appréciation. Or, l’intimé s’est</w:t>
      </w:r>
    </w:p>
    <w:p>
      <w:r>
        <w:t>A/1514/2014 - 11/13 - uniquement fondé sur le défaut de collaboration de la recourante pour motiver sa décision – au demeurant sans que l’on ne trouve trace au dossier de l’information à ce sujet, relayée par le médecin de la recourante selon la décision de l’intimé. Il n’a en particulier procédé à aucune analyse des éléments du dossier et n’a mis en œuvre aucune des mesures d’instruction qui auraient été possibles même sans le concours de la recourante afin de statuer sur le fond. Ainsi, malgré son libellé, la décision doit être assimilée à une décision de non-entrée en matière. L’intimé semble au demeurant également la considérer comme telle, dès lors qu’il a évoqué dans sa réponse du 28 juillet 2014 la possibilité d’être « condamné à statuer sur le fond », ce qui démontre qu’il admet ne pas l’avoir fait. Or, tant le Dr G_____ que la Dresse H_____ ont exposé que le défaut de compliance de la recourante était partiellement imputable à ses troubles psychiques. Ces seuls éléments suffisent à démontrer que ce n’est pas de manière inexcusable, soit fautive, que la recourante s’est soustraite aux examens médicaux nécessaires selon l’intimé à établir son droit aux prestations, puisqu’elle n’était pas en mesure de mesurer les conséquences de ses actes et que son comportement défaillant s’explique en tout cas en partie par ses atteintes psychiques. Par surabondance, la recourante a fait l’objet d’un prononcé d’interdiction en 2012. Conformément à l’art. 369 al. 1 du code civil (CC ; RS 210) dans sa teneur en vigueur au 1er janvier 2012, devait être pourvu d’un tuteur tout majeur qui, pour cause de maladie mentale ou de faiblesse d’esprit, était incapable de gérer ses affaires, ne pouvait se passer de soins et secours permanents ou menaçait la sécurité d’autrui. On peut ainsi supposer que l’interdiction de la recourante résulte de son incapacité de discernement. Or, l’incapacité de discernement exclut le caractère fautif de la violation du devoir de collaborer, comme cela ressort de la doctrine citée. Pour ce motif déjà, la décision de l’intimé doit être annulée. La cause lui sera dès lors renvoyée pour instruction complémentaire. Sur ce point, il convient de souligner que même si un nouvel examen de la recourante par un spécialiste de l’UPDM devait s’avérer impossible, il ne paraît pas s’agir là d’un élément essentiel pour déterminer le droit à des mesures d’ordre professionnel. En effet, l’intimé pourra requérir l’avis des médecins que la recourante a déjà consultés, soit le Dr G_____ et la Dresse H_____, notamment s’agissant de l’aptitude subjective de celle-ci à suivre une mesure d’ordre professionnel. De plus, l’intimé pourra s’appuyer sur l’expertise psychiatrique ayant conduit à la mesure de protection prononcée en faveur de la recourante selon les explications de sa représentante. Il lui appartiendra d’en requérir la production. Les renseignements à prendre auprès des spécialistes de l’UPDM et l’expertise existante pourront au demeurant également être utiles dans l’analyse du droit à la rente à laquelle l’intimé devra procéder s’il parvient à la conclusion que des mesures d’ordre professionnel ne peuvent être octroyées.</w:t>
      </w:r>
    </w:p>
    <w:p>
      <w:r>
        <w:rPr>
          <w:b/>
        </w:rPr>
        <w:t>E. 9</w:t>
      </w:r>
    </w:p>
    <w:p>
      <w:r>
        <w:t>Eu égard à ce qui précède, le recours est admis.</w:t>
      </w:r>
    </w:p>
    <w:p>
      <w:r>
        <w:t>A/1514/2014 - 12/13 -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La procédure n’étant pas gratuite en matière d’assurance-invalidité, l’intimé supporte l’émolument de CHF 500.- (art. 69 al. 1bis LAI).</w:t>
      </w:r>
    </w:p>
    <w:p>
      <w:r>
        <w:t>A/1514/2014 - 13/13 -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