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ATAS/7/2012 vom 10. Januar 2012</w:t>
      </w:r>
    </w:p>
    <w:p>
      <w:r>
        <w:t>GE Cour de justice, 2012-01-10, FR</w:t>
      </w:r>
    </w:p>
    <w:p>
      <w:r>
        <w:rPr>
          <w:b/>
        </w:rPr>
        <w:t xml:space="preserve">Quelle: </w:t>
      </w:r>
      <w:r>
        <w:t>https://mcp.opencaselaw.ch/entscheid/ge_gerichte_ATAS_7_2012</w:t>
      </w:r>
    </w:p>
    <w:p>
      <w:r>
        <w:t>FR: GE_GERICHTE ATAS/7/2012 du 10 janvier 2012</w:t>
      </w:r>
    </w:p>
    <w:p>
      <w:r>
        <w:t>IT: GE_GERICHTE ATAS/7/2012 del 10 gennaio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est recevable.</w:t>
      </w:r>
    </w:p>
    <w:p>
      <w:r>
        <w:rPr>
          <w:b/>
        </w:rPr>
        <w:t>E. 4</w:t>
      </w:r>
    </w:p>
    <w:p>
      <w:r>
        <w:t>L'objet du litige porte sur le point de savoir si l'assurance était fondée à cesser le versement des prestations légales de l'assuré dès le 31 mai 2010.</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Les prestations de l'assurance-accidents comprennent notamment le traitement médical approprié des lésions résultant de l'accident (art. 10 al. 1 LAA), les moyens auxiliaires destinés à compenser un dommage corporel ou la perte d'une fonction (art. 11 al. 1 LAA), des indemnités journalières en cas d'incapacité de travail (art. 16 al. 1 LAA), ainsi qu'une rente lorsque l'assuré est invalide à au moins 10 % à la suite d'un accident (art. 18 al. 1 LAA).</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w:t>
      </w:r>
    </w:p>
    <w:p>
      <w:r>
        <w:t>A/1400/2011 - 11/17 -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U 239/05 du 31 mai 2006, consid. 2.1).</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8C_628/2007 du 22 octobre 2008, consid. 5.1), au point que le dommage puisse encore équitablement être mis à la charge de l'assurance-accidents eu égard aux objectifs poursuivis par la LAA (ATF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8C_339/2007 du 6 mai 2008, consid. 2.1;).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w:t>
      </w:r>
    </w:p>
    <w:p>
      <w:r>
        <w:t>A/1400/2011 - 12/17 -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8C_510/2008 du 24 avril 2009, consid. 5.2; ATF U 369/01 du 4 mars 2002, consid. 2c). Pour admettre l’existence du lien de causalité en présence d’un accident de gravité moyenne, il faut prendre en considération les sept critères suivants, dont la liste est exhaustive (ATF 134 V 109, consid. 10.2; ATF 8C_311/2009 du 26 octobre 2009, consid. 4.1)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aux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w:t>
      </w:r>
    </w:p>
    <w:p>
      <w:r>
        <w:t>A/1400/2011 - 13/17 -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w:t>
      </w:r>
    </w:p>
    <w:p>
      <w:r>
        <w:t>A/1400/2011 - 14/17 -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Le rapport du Dr U_________ correspond aux exigences dégagées par la jurisprudence et doit donc se voir reconnaître une pleine valeur probante. Il a été établi en connaissance du dossier médical de l’assuré, tient compte des plaintes subjectives de celui-ci dans son appréciation et repose sur un examen clinique complet. Ses conclusions sont sans ambiguïté et leur motivation est parfaitement claire. Tel est également le cas de l’avis neurologique du Dr F_________. Comme cela ressort de la jurisprudence précitée, le fait que cet avis ait été établi sans examen de l'assuré ne suffit pas à lui dénier toute valeur probante. Ce rapport est en effet particulièrement complet, comprend une anamnèse fouillée et une analyse détaillée de l’intégralité du dossier médical de l’assuré. Ce neurologue a exposé précisément les motifs qui le poussaient à écarter les diagnostics retenus par certains de ses confrères, en se référant notamment à la doctrine médicale. Il n’y a ainsi pas lieu de s’écarter des conclusions de ces médecins, aux termes desquelles aucune lésion d’origine accidentelle ne justifiait d’incapacité de travail ou ne nécessitait de soins médicaux au-delà du 31 mai 2010. Les autres documents médicaux versés au dossier ne permettent pas de parvenir à une autre conclusion. S’agissant du diagnostic de complex regional pain syndrom, pathologie également connue sous le nom d'algoneurodystrophie, il a été écarté par scintigraphie du 6 avril 2010, et le Dr T_________ a également conclu à l’absence d’une telle atteinte dans son rapport du 22 avril 2010. Le diagnostic du Dr B_________ du 21 août 2010, qui admet d’ailleurs que les examens cliniques ne confirment pas cette pathologie, doit donc être écarté pour ce motif. On notera par ailleurs que même s’il fallait admettre l’existence d’une algodystrophie, celle-ci n’a été mentionnée pour la première fois qu’en décembre 2009 par le Dr Q_________, soit plus de quatre mois après l’accident. Or, selon la jurisprudence, le lien de causalité entre un accident et une algodystrophie suppose la présence des critères cumulatifs suivants : la preuve d'une lésion physique après un accident ou l'apparition d'une algodystrophie à la suite d'une opération nécessitée par l'accident; l'absence d'un autre facteur causal de nature non traumatique; et une courte période de latence entre l'accident et l'apparition de l'algodystrophie, soit au maximum six à huit semaines (ATF 8C_871/2010 du 4 octobre 2011, consid. 3.2 ; ATF 8C_384/2009 du 5 janvier 2010, consid. 4.2.1). Si les deux premiers critères sont réalisés in casu, le troisième n’est à l’évidence pas rempli, puisque le délai maximal de deux mois était largement dépassé. La Cour de céans souligne en outre que selon le rapport du 4 août 2010 du Dr V_________, le complex regional pain syndrom, au demeurant guéri dans l'intervalle, constituait un facteur extérieur à</w:t>
      </w:r>
    </w:p>
    <w:p>
      <w:r>
        <w:t>A/1400/2011 - 15/17 - l’accident, ce qui exclut tout lien de causalité entre l’événement du 28 juillet 2009 et l’algoneurodystrophie alléguée. S’agissant d’une éventuelle atteinte du nerf, force est de constater que les nombreux examens médicaux auxquels s’est soumis l’assuré ne permettent pas de conclure à l’existence d’une telle lésion, comme le soulignent à juste titre les Drs U_________ et F_________. Le Dr M_________ a en effet exclu une anomalie significative du nerf ulnaire et de ses branches, à l’instar des Drs N_________, O_________, P_________ et C_________. Si l’anamnèse des Drs D_________ et E_________ évoque une névralgie, ces médecins relèvent néanmoins qu’il n’y a pas de lésion franche. Le rapport d’évaluation sensitive du 8 juillet 2010 ayant été établi par un ergothérapeute et non par un médecin, il ne peut se voir reconnaître de valeur probante et la névralgie brachiale du nerf ulnaire qu’il relate ne peut partant pas être retenue. Le Dr V_________ fait certes état d’une contusion du nerf sensitif cutané ulnaire dans son certificat de juillet 2010. Ce certificat paraît cependant manifestement contradictoire, puisqu'il affirme que la contusion du nerf cutané a été confirmée par un ultrason ne montrant ni lésion nerveuse ni artérielle. Il est de plus erroné, l'échographie réalisée par le Dr M_________ n'ayant pas confirmé de telle atteinte. Les constatations du Dr V_________ s'agissant de l'existence atteinte nerveuse ne peuvent partant pas se voir reconnaître la moindre valeur probante, et on s'étonne d'ailleurs que le Dr V_________ n'ait pas mentionné cette atteinte dans son précédent rapport du 4 mai 2010. Quant au rapport du Dr Stéphane AD_________, le libellé pour le moins réservé de son rapport faisant état de discrets signes en faveur de stigmates d’une lésion ne permet pas de conclure avec certitude à une neuropathie. Or, il n'existe pas, en droit des assurances sociales, un principe selon lequel le juge devrait statuer, dans le doute, en faveur de l'assuré (ATF 126 V 319, consid. 5a). Il n’est pas inutile d’ajouter que même si une lésion nerveuse avait été diagnostiquée sans aucun doute près d'une année après l'accident, cela ne suffirait pas à établir qu'elle est en lien de causalité naturelle avec l'accident ni qu'elle entraîne une incapacité totale de travail. Quant à l’allodynie, comme l’a relevé le neurologue de la SUVA, il ne s’agit pas d’un diagnostic mais d’un symptôme douloureux. Or,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 ATF 9C_271/2011 du 26 octobre 2011, consid. 4.2). En l’absence de substrats organiques, les douleurs de l’assuré ne suffisent dès lors pas à établir une incapacité de travail justifiant le versement de prestations de l’assurance-accidents. L’allodynie signalée par les différents médecins traitants de l’assuré ne constitue dès lors pas un diagnostic susceptible de renverser les conclusions des Drs U_________ et F_________. Par surabondance, le Dr V_________ a signalé dans deux rapports que ce phénomène était un facteur étranger à l'accident, si bien</w:t>
      </w:r>
    </w:p>
    <w:p>
      <w:r>
        <w:t>A/1400/2011 - 16/17 - que le lien de causalité naturelle avec l'accident pourrait en tout état de cause également être mis en doute pour cette atteinte. Le recourant invoque en outre des acouphènes, des vertiges et un état dépressif, qui contribuent selon le certificat du 26 février 2011 du Dr B_________ à l’incapacité de travail. On notera s’agissant des acouphènes et des vertiges que les problèmes d’oreille de l’assuré, apparemment provoqués par une boucle vasculaire avec le nerf cochléo-vestibulaire droit, sont manifestement sans lien avec l’accident qui a touché le poignet du recourant et qu'ils sont apparus plusieurs mois après l'événement du 28 juillet 2009. La Cour de céans rappelle à cet égard que le seul fait que des symptômes douloureux ne se sont manifestés qu'après la survenance d'un accident ne suffit pas à établir un rapport de causalité naturelle avec cet accident (raisonnement «post hoc, ergo propter hoc»; ATF 119 V 335, consid. 2b/bb). Quant au léger état dépressif mentionné par le Dr B_________, en admettant qu’il soit suffisant pour entraîner une incapacité de travail, on ne peut admettre de lien de causalité adéquate avec l’accident à la lumière des critères jurisprudentiels rappelés ci-dessus. Il est en effet patent que ceux-ci ne sont pas réalisés. L’accident doit être qualifié de peu grave, et il s’est déroulé dans des circonstances tout-à-fait banales. La coupure n’était pas d’une gravité particulière et le traitement médical a été anodin et sans complications. On ne voit pas non plus quelles erreurs de traitement auraient été commises, même si l’assuré s’est déclaré insatisfait des soins reçus lors de son entretien avec le Dr U_________. Conformément à ce qui précède, la décision de la SUVA s’avère fondée. Les rapports médicaux dont se prévaut l’assuré sont insuffisants pour renverser les conclusions des Drs F_________ et U_________, notamment en raison du fait qu’ils ne mentionnent aucune atteinte que les experts ont ignorée bien qu'ils auraient dû en tenir compte. Il est dès lors superflu de mettre en œuvre l’expertise requise par l’assuré. A cet égard, il convient de rappeler que si la garantie constitutionnelle du droit d'être entendu confère notamment à un justiciable le droit de faire administrer des preuves essentielles (ATF 127 V 431, consid. 3a), 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w:t>
      </w:r>
    </w:p>
    <w:p>
      <w:r>
        <w:rPr>
          <w:b/>
        </w:rPr>
        <w:t>E. 10</w:t>
      </w:r>
    </w:p>
    <w:p>
      <w:r>
        <w:t>Mal fondé, le recours sera rejeté. Pour le surplus, la procédure est gratuite (art. 61 let. a LPGA).</w:t>
      </w:r>
    </w:p>
    <w:p>
      <w:r>
        <w:t>A/1400/2011 - 17/17 -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