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ATAS/79/2019 vom 31. Januar 2019</w:t>
      </w:r>
    </w:p>
    <w:p>
      <w:r>
        <w:t>GE Cour de justice, 2019-01-31, FR</w:t>
      </w:r>
    </w:p>
    <w:p>
      <w:r>
        <w:rPr>
          <w:b/>
        </w:rPr>
        <w:t xml:space="preserve">Quelle: </w:t>
      </w:r>
      <w:r>
        <w:t>https://mcp.opencaselaw.ch/entscheid/ge_gerichte_ATAS_79_2019</w:t>
      </w:r>
    </w:p>
    <w:p>
      <w:r>
        <w:t>FR: GE_GERICHTE ATAS/79/2019 du 31 janvier 2019</w:t>
      </w:r>
    </w:p>
    <w:p>
      <w:r>
        <w:t>IT: GE_GERICHTE ATAS/79/2019 del 31 gennaio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(à l’exception des conclusions relevées au consid. 3 ci-dessous), en vertu des art. 56 ss LPGA, compte tenu de la période de suspension des délais courant du septième jour avant Pâques au septième jour après Pâques inclusivement (art. 38 al. 4 let. a LPGA).</w:t>
      </w:r>
    </w:p>
    <w:p>
      <w:r>
        <w:rPr>
          <w:b/>
        </w:rPr>
        <w:t>E. 3</w:t>
      </w:r>
    </w:p>
    <w:p>
      <w:r>
        <w:t>Il convient au préalable de déterminer l’objet du litige. a. Selon l'art. 49 al. 1 LPGA, l'assureur doit rendre par écrit les décisions qui portent sur des prestations, créances ou injonctions importantes ou avec lesquelles l'intéressé n'est pas d'accord. Les prestations, créances et injonctions qui ne sont pas visées par l'art. 49 al. 1 LPGA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w:t>
      </w:r>
    </w:p>
    <w:p>
      <w:r>
        <w:t>A/2153/2017 - 12/20 - de fait commun, et à la condition que l'administration se soit exprimée à son sujet dans un acte de procédure au moins (ATF 130 V 503, 122 V 36 consid. 2a et les références). c. En l’espèce, la décision attaquée confirme la décision du 7 mars 2016 qui maintient, suite à la rechute annoncée en septembre 2015, le droit du recourant à une rente d’invalidité LAA au taux de 12%. Ainsi, seul le degré d’incapacité de gain fait partie du litige soumis à la chambre de céans. Le recourant a pris de nombreuses conclusions excédant l’objet du litige tel que défini par la décision querellée et rappelé ci-dessus. On notera que la conclusion tendant à l’octroi d’une rente transitoire à compter du 30 juin 2014, prévue à l’art. 30 de l’ordonnance sur l'assurance-accidents du 20 décembre 1982 (OLAA  RS 832.202), est devenue sans objet, dès lors que le recourant perçoit une rente d’invalidité LAA, fondée sur un taux d’incapacité de gain de 12%, depuis le 1er juillet 2014. S’agissant de la conclusion tendant au réexamen du montant des indemnités journalières versées jusqu’au 30 juin 2014, il y a lieu de relever que celles-ci ont été allouées jusqu’au versement de la rente d’invalidité précitée sur la base de simples décomptes selon la procédure dite simplifiée prévue à l’art. 51 LPGA (Valérie DÉFAGO GAUDIN, Commentaire romand de la loi sur la partie générale des assurances sociales, 2018, n. 1 ad art. 51 LPGA). En l’absence d’une décision formelle demandée par le recourant, lesdits décomptes sont entrés en force et déploient leurs effets au même titre qu’une décision (cf. DÉFAGO GAUDIN, op cit., n. 2 ad art. 51 LPGA). Il s’ensuit que cette conclusion a trait à la reconsidération d’une décision entrée en force. Or, selon la jurisprudence, si l'administration peut en tout temps revenir sur une décision formellement passée en force (aux conditions posées la jurisprudence: voir ATF 127 V 469 consid. 2c et les références), le juge des assurances sociales ne peut la contraindre à reconsidérer pareille décision (cf. ATF 119 V 479 consid. 1b/cc ; 117 V 12 consid. 2a). En outre, compte tenu du fait que l’intimée ne s’est pas exprimée à ce sujet dans le cadre de la présente procédure (le recourant n’ayant du reste à aucun moment adressé une demande de reconsidération à l’intimée), l’objet du litige ne peut être étendu au montant desdites indemnités journalières. Cette conclusion doit dès lors être déclarée irrecevable. Pour les mêmes motifs, la conclusion tendant au réexamen du montant des indemnités journalières perçues du 4 septembre 2015 au 31 mars 2017 doit également être déclarée irrecevable. Bien que celles-ci aient fait l’objet d’une contestation, suite à laquelle l’intimée a rendu la décision du 4 avril 2016, cette dernière est entrée en force, puisque le recourant n’a pas formé opposition (art. 52 al. 1 LPGA). Or, la procédure d’opposition est obligatoire et constitue une condition formelle de validité de la procédure de recours subséquente. À défaut d’une décision susceptible de recours, à savoir une décision sur opposition, le juge</w:t>
      </w:r>
    </w:p>
    <w:p>
      <w:r>
        <w:t>A/2153/2017 - 13/20 - n’est pas autorisé à se saisir de l’affaire (arrêt du Tribunal fédéral des assurances P 63/06 du 14 mars 2007 consid. 4.2.1). Quant à la conclusion tendant au réexamen du montant des indemnités journalières perçues depuis le 23 novembre 2018, suite à la rechute annoncée en novembre 2018, elle sera également déclarée irrecevable, car elle est prématurée. Comme on le verra ci-après, cette rechute fait l’objet d’une instruction distincte et à ce stade le recourant n’a pas contesté les décomptes d’indemnités journalières y afférents. L’intimée n’a donc pas rendu de décision pouvant faire l'objet d'une opposition. En définitive, le litige porte sur le point de savoir si c’est à juste titre que l’intimée a refusé d’augmenter la rente d’invalidité, octroyée au recourant depuis le 1er juillet 2014, suite à la rechute annoncée en septembre 2015.</w:t>
      </w:r>
    </w:p>
    <w:p>
      <w:r>
        <w:rPr>
          <w:b/>
        </w:rPr>
        <w:t>E. 4</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w:t>
      </w:r>
    </w:p>
    <w:p>
      <w:r>
        <w:rPr>
          <w:b/>
        </w:rPr>
        <w:t>E. 5</w:t>
      </w:r>
    </w:p>
    <w:p>
      <w:r>
        <w:t>Selon l'art. 18 al. 1 LAA, si l’assuré est invalide (art. 8 LPGA) à 10 % au moins par suite d’un accident, il a droit à une rente d’invalidité. Il sied de préciser que la notion d'invalidité définie à l'art. 8 LPGA, est en principe identique en matière d'assurance-accidents, d'assurance militaire et d'assurance- invalidité (ATF 126 V 288 consid. 2d).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w:t>
      </w:r>
    </w:p>
    <w:p>
      <w:r>
        <w:t>A/2153/2017 - 14/20 - d’office ou sur demande, augmentée ou réduite en conséquence, ou encore supprimée si les circonstances dont dépendait son octroi changent notablement (al. 2).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Pour être prise en considération, une péjoration de l’état de santé doit être en relation de causalité avec l’événement assuré (arrêt du Tribunal fédéral des assurances U 66/94 du 4 novembre 1994 consid. 3b).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consid. 5.4).</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A/2153/2017 - 15/20 -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il convient d’examiner si une modification de l’état de santé du recourant justifiant une révision du taux de sa rente d’invalidité s’est produite. Pour ce faire, il y a lieu de comparer l’état de fait prévalant lors de la dernière décision entrée en force, reposant sur un examen matériel du droit à la rente, soit la décision sur opposition du 29 septembre 2015, qui a été confirmée par la chambre de céans (ATAS/668/2016 du 25 août 2016), avec la situation existant au moment de la décision litigieuse du 19 avril 2017.</w:t>
      </w:r>
    </w:p>
    <w:p>
      <w:r>
        <w:t>A/2153/2017 - 16/20 - b. À l’appui de sa décision du 29 septembre 2015, l’intimée s’est basée sur le rapport final du Dr J______ du 28 février 2013 pour arrêter le degré d’invalidité à 12%, rapport dont la valeur probante a été reconnue par la chambre de céans par arrêt ATAS/145/2015 du 25 février 2015, lequel n’a pas fait l’objet d’un recours au Tribunal fédéral, de sorte qu’il est définitif. Il ressort de ce rapport que le recourant, qui ne peut plus exercer son activité habituelle de maçon (suite à l’accident dont il a été victime le 1er février 2011 ayant provoqué une atteinte à son épaule gauche), pourrait effectuer un travail adapté à plein temps ne sollicitant pas le bras gauche au-dessus de l’horizontale ni le port de charges supérieures à 10 kg. Au demeurant, on relèvera que, suite à l’opération réalisée le 8 février 2012, le Dr H______, médecin d’arrondissement de l’intimée, avait examiné le recourant le 31 juillet 2012, et était parvenu, déjà à ce moment, à une conclusion sensiblement identique (soit une capacité de travail résiduelle dans une activité ne requérant ni manutention de charges dépassant les 5 kg ni élévation du bras au-dessus de l’horizontale). c. La décision litigieuse, quant à elle, se fonde sur le rapport du Dr L______ du 25 janvier 2017, médecin d’arrondissement de l’intimée, qui considère que le recourant, inapte à exercer son activité habituelle, pourrait exercer un travail adapté à plein temps moyennant un port de charges ponctuel et limité à 5 kg du côté gauche, en évitant les mouvements de rotation répétés de l’épaule gauche et les gestes en hauteur. Cette décision a été prise suite à la rechute annoncée formellement par le recourant en septembre 2015. Il ressort des rapports médicaux se rapportant à cette rechute que l’épaule gauche du recourant présentait des fissurations de la face profonde associées à un amincissement de l’insertion distale du tendon du muscle supra- spinatus et à une dissection lamellaire du tendon infra-spinatus sans composante transfixiante ni opacification de la bourse sous-acromio-déltoïdienne, une omarthrose débutante associée à une intégrité du complexe labro-ligamentaire ainsi qu’une arthropathie débutante de l’interligne acromio-claviculaire (cf. arthroscanner de l’épaule gauche du 21 juillet 2015). Se référant à cet examen, dans son rapport du 4 septembre 2014, le Dr G______, médecin traitant, a fait état de douleurs importantes, mais relevé que, cliniquement, les mobilités étaient bonnes et la coiffe compétente. Si l’arthro-IRM montrait un amincissement des tendons, il n’existait en revanche pas de rupture itérative. Dans son rapport du 5 novembre 2015, la CRR, qui a notamment pris en compte les résultats de l’arthroscanner du 21 juillet 2015, a estimé que le recourant disposait d’une capacité de travail entière dans une activité adaptée sans travail prolongé au-dessus du plan des épaules, sans port de charges lourdes et moyennes de manière répétée et sans travail prolongé avec les bras en porte-à-faux. La CRR a relevé que, lors des ateliers professionnels, le recourant avait pu effectuer des activités légères (5-10 kg) avec une vitesse de travail dans la norme. Les résultats réalisés au cours de l’évaluation des capacités fonctionnelles révélaient que le recourant sous-estimait considérablement ses aptitudes fonctionnelles. Dans son rapport du 15 janvier 2016,</w:t>
      </w:r>
    </w:p>
    <w:p>
      <w:r>
        <w:t>A/2153/2017 - 17/20 - le Dr G______ a, bien qu’il ait retenu un syndrome douloureux chronique à l’effort résiduel, considéré que la capacité de travail du recourant était entière dans une activité adaptée aux limitations fonctionnelles (à savoir une limitation faible des amplitudes articulaires de 160° en élévation et abduction, 60° en rotation externe coude au corps et huitième vertèbre dorsale en rotation interne). Au vu de l’arthroscanner de l’épaule gauche réalisée le 14 mars 2016, mettant en évidence une lésion transfixiante du tendon supra-épineux et une minuscule lésion partielle de l’infra-épineux, le médecin traitant a effectué ensuite, le 15 juin 2016, une arthroscopie, une excision de l’insertion distale du sus-épineux, une acromioplastie antéro-externe et une résection du centimètre distal de la clavicule. L’appréciation du Dr L______ du 25 janvier 2017 repose sur l’examen personnel du recourant, sur son dossier médical, y compris son dossier radiologique (le médecin d’arrondissement a résumé les rapports médicaux susvisés) et prend en considération les plaintes du recourant. Il y a par conséquent lieu d’accorder une pleine valeur probante à ladite appréciation, ce d’autant plus que l’échographie de l’épaule gauche du 12 janvier 2017 conclut à l’absence de déchirure transfixiante significative, et que, dans son rapport du 11 avril 2017, le Dr G______, qui a rappelé qu’un amincissement des tissus avait été excisé et suturé lors de l’opération en juin 2016, a souligné que la nouvelle échographie ne montrait pas de récidive de rupture. En outre, le fait que l’examen effectué par le Dr L______ fût court, selon le recourant, n’est pas de nature à justifier que l'on s’écarte de son appréciation, puisque la durée de l'entretien entre l'expert et l'assuré n'est pas un critère reconnu par la jurisprudence pour avoir une influence déterminante sur la qualité et la valeur probante d'un rapport d'expertise (cf. arrêt du Tribunal fédéral I 719/06 du 4 juillet 2007 consid. 2.2). Celles-ci ne sauraient en effet être proportionnelles au temps consacré, dès lors que le travail de l'expert ne s'arrête pas au stade de l'entretien, mais qu'il consiste également et avant tout en l'analyse des propos recueillis et du comportement observé (arrêt du Tribunal fédéral I 764/05 du 30 mai 2005 consid. 2.3). Au vu de ces éléments, c’est à tort que le recourant focalise son argumentation sur l’appréciation du Dr J______ du 28 février 2013 pour contester que son état de santé était stabilisé à ce moment. Outre le fait que, par arrêt ATAS/145/2015 du 25 février 2015  devenu définitif, celui-ci n’ayant pas été remis en cause , la chambre de céans avait accordé pleine valeur probante au rapport du Dr J______, on relèvera que, contrairement aux allégations du recourant, les rapports médicaux relatifs à la rechute annoncée en septembre 2015  objet du présent litige , concluent, après l’opération de juin 2016, à l’absence de déchirure. Aussi les rapports de la Dresse K______, médecin traitant, des 24 octobre 2018 et</w:t>
      </w:r>
    </w:p>
    <w:p>
      <w:r>
        <w:rPr>
          <w:b/>
        </w:rPr>
        <w:t>E. 10</w:t>
      </w:r>
    </w:p>
    <w:p>
      <w:r>
        <w:t>Mal fondé, le recours sera ainsi rejeté.</w:t>
      </w:r>
    </w:p>
    <w:p>
      <w:r>
        <w:rPr>
          <w:b/>
        </w:rPr>
        <w:t>E. 11</w:t>
      </w:r>
    </w:p>
    <w:p>
      <w:r>
        <w:t>Au vu de ce qui précède, par appréciation anticipée des preuves (ATF 122 II 464 consid. 4a), la chambre de céans renonce à la comparution personnelle des parties et à la mise en œuvre d’une expertise, requises par le recourant. Il sied de relever à cet égard que les dires du recourant doivent être étayés par des documents médicaux (rapport des médecins, examens radiologiques etc.), de sorte qu’on ne voit pas en quoi son audition permettrait de compléter l’instruction, les faits étant connus et les pièces médicales figurant dans le dossier. Le recourant a enfin eu à maintes reprises l’occasion de s’exprimer par écrit.</w:t>
      </w:r>
    </w:p>
    <w:p>
      <w:r>
        <w:rPr>
          <w:b/>
        </w:rPr>
        <w:t>E. 12</w:t>
      </w:r>
    </w:p>
    <w:p>
      <w:r>
        <w:t>Quand bien même l’intimée obtient gain de cause, elle conclut à tort à l’octroi de dépens, dès lors qu’elle n’est pas représentée par un avocat indépendant.</w:t>
      </w:r>
    </w:p>
    <w:p>
      <w:r>
        <w:rPr>
          <w:b/>
        </w:rPr>
        <w:t>E. 13</w:t>
      </w:r>
    </w:p>
    <w:p>
      <w:r>
        <w:t>Pour le surplus, la procédure est gratuite (art. 61 let. a LPGA).</w:t>
      </w:r>
    </w:p>
    <w:p>
      <w:r>
        <w:t>A/2153/2017 - 20/20 -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