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ATAS/79/2018 vom 29. Januar 2018</w:t>
      </w:r>
    </w:p>
    <w:p>
      <w:r>
        <w:t>GE Cour de justice, 2018-01-29, FR</w:t>
      </w:r>
    </w:p>
    <w:p>
      <w:r>
        <w:rPr>
          <w:b/>
        </w:rPr>
        <w:t xml:space="preserve">Quelle: </w:t>
      </w:r>
      <w:r>
        <w:t>https://mcp.opencaselaw.ch/entscheid/ge_gerichte_ATAS_79_2018</w:t>
      </w:r>
    </w:p>
    <w:p>
      <w:r>
        <w:t>FR: GE_GERICHTE ATAS/79/2018 du 29 janvier 2018</w:t>
      </w:r>
    </w:p>
    <w:p>
      <w:r>
        <w:t>IT: GE_GERICHTE ATAS/79/2018 del 29 gennaio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de la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recours a été formé, compte tenu des féries du 15 juillet au 15 août 2016, dans le délai et selon la forme prescrits (art. 38 al. 4 let. b LPGA et 56ss LPGA).</w:t>
      </w:r>
    </w:p>
    <w:p>
      <w:r>
        <w:rPr>
          <w:b/>
        </w:rPr>
        <w:t>E. 5</w:t>
      </w:r>
    </w:p>
    <w:p>
      <w:r>
        <w:t>Le litige porte sur la question de savoir si les troubles au poignet droit présentés par le recourant postérieurement au 11 mai 2016 sont en lien de causalité avec l'accident survenu le 9 août 2015.</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t>A/3026/2016 - 13/24 - b. La responsabilité de l'assureur-accident s'étend, en principe, à toutes les conséquences dommageables qui se trouvent dans un rapport de causalité naturelle (ATF 119 V 337 consid. 1 ;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examinent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c.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 RAMA 1999 n° U 341 p. 408, consid. 3b).</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présence d'une atteinte à la santé physique, le problème de la causalité adéquate ne se pose toutefois guère, car l'assureur-accidents répond aussi des complications les plus singulières et les plus</w:t>
      </w:r>
    </w:p>
    <w:p>
      <w:r>
        <w:t>A/3026/2016 - 14/24 - graves qui ne se produisent habituellement pas selon l'expérience médicale (ATF 127 V 102 consid. 5b/bb et les références).</w:t>
      </w:r>
    </w:p>
    <w:p>
      <w:r>
        <w:rPr>
          <w:b/>
        </w:rPr>
        <w:t>E. 8</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w:t>
      </w:r>
    </w:p>
    <w:p>
      <w:r>
        <w:rPr>
          <w:b/>
        </w:rPr>
        <w:t>E. 9</w:t>
      </w:r>
    </w:p>
    <w:p>
      <w:r>
        <w:t>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Les lésions des ligaments figurent parmi la liste exhaustive des lésions corporelles assimilées à un accident (art. 9 al. 2 let. g OLAA).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 ATF 116 V 145 consid. 6c ; ATF 114 V 301 consid. 3c).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 contrario, aussi longtemps que le statu quo sine vel ante n'est pas rétabli, l'assureur-accidents doit prendre à sa charge le traitement de l'état maladif</w:t>
      </w:r>
    </w:p>
    <w:p>
      <w:r>
        <w:t>A/3026/2016 - 15/24 -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 8C_698/2007 du 27 octobre 2008 consid. 4.2 ; 8C_551/2007 du 8 août 2008 consid. 4.1.2 ; 8C_357/2007 du 31 janvier 2008 consid. 2). d. Ces règles sont également applicables lorsqu'une des lésions mentionnées à l'art. 9 al. 2 OLAA est survenue lors d'un événement répondant à la définition de l'accident au sens de l'art. 6 al. 1 LAA (arrêts du Tribunal fédéral 8C_347/2013 du 18 février 2013 consid. 3.2 ; 8C_698/2007 du 27 octobre 2008 consid. 4.2 ; 8C_357/2007 du 31 janvier 2008 consid. 3.2).</w:t>
      </w:r>
    </w:p>
    <w:p>
      <w:r>
        <w:rPr>
          <w:b/>
        </w:rPr>
        <w:t>E. 10</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A/3026/2016 - 16/24 -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w:t>
      </w:r>
    </w:p>
    <w:p>
      <w:r>
        <w:t>A/3026/2016 - 17/24 - expertise judiciaire (ATF 135 V 465 consid. 4 ; arrêt du Tribunal fédéral 8C_923/2010 du 2 novembre 2011 consid. 5.2).</w:t>
      </w:r>
    </w:p>
    <w:p>
      <w:r>
        <w:rPr>
          <w:b/>
        </w:rPr>
        <w:t>E. 11</w:t>
      </w:r>
    </w:p>
    <w:p>
      <w:r>
        <w:t>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 U.389/04 du 27 octobre 2005 consid. 4.1 et U.222/04 30 novembre 2004 consid. 1.3).</w:t>
      </w:r>
    </w:p>
    <w:p>
      <w:r>
        <w:rPr>
          <w:b/>
        </w:rPr>
        <w:t>E. 12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U.58/01 du</w:t>
      </w:r>
    </w:p>
    <w:p>
      <w:r>
        <w:t>A/3026/2016 - 18/24 - 21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13</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septembre 2015). Ce fait est également corroboré par les Drs G______ et F______ qui n'ont pas contesté que la symptomatologie douloureuse présentée par le recourant au poignet droit, suite à sa chute du 9 août 2015, justifiait un traitement médical et une incapacité de travail (rapport du Dr F______ du 1er octobre 2015 et rapport du Dr G______ du 9 décembre 2015). Compte tenu de ce qui précède, il est établi que la chute du 9 août 2015 a déclenché les symptômes douloureux présentés par le recourant au poignet droit. Par ailleurs, il résulte de la lecture de l’ensemble des rapports versés au dossier, qu’aucun médecin ne fait état de l’origine exclusivement maladive des déchirures du ligament scapho-triquétral et du ligament TFCC. On relèvera à cet égard que le Dr F______ ne conteste pas que la chute du 9 août 2015 ait causé ces déchirures (rapport du 27 avril 2016). En outre, le Dr P______ a expliqué qu’il rejoignait l’avis du Dr N______ pour dire qu’il n’y avait pas d’arguments ou d’indices d’une maladie qui serait à l’origine de ces lésions (rapport du 22 novembre 2016, p. 7). Cela étant, dans le cadre de la présente procédure, l'intimée fait valoir que la chute du 9 août 2015 a causé uniquement une extension des mains et des contusions costales, contestant ainsi devoir prendre en charge la déchirure du ligament scapho-triquétral et la déchirure du ligament TFCC. Il n’est pas contesté que le recourant a subi un accident à la main droite en 1984, soit avant la survenue de l'événement assuré par l'intimée, et qui a nécessité deux interventions avec réparation des tendons (rapport du Dr J______ du 13 novembre 2015). Il n’est pas non plus contesté que le recourant n’était pas assuré auprès de l’intimée lors de l’accident survenu en 1984. Par rapport du 22 novembre 2016, le Dr P______ a indiqué que le recourant avait certainement des antécédents de status après fractures des styloïdes, une perte de substance cutanée et/ou sous-cutanée dorsale du poignet droit et de probables dégâts tendineux traités chirurgicalement. Il a ajouté que le 9 août 2015, le recourant avait subi un traumatisme des deux poignets en se réceptionnant d'une chute en avant. On pouvait donc en déduire un impact palmaire bilatéral, éventuellement couplé avec une extension des poignets. Selon lui, au vu du biomécanisme de la chute subie le</w:t>
      </w:r>
    </w:p>
    <w:p>
      <w:r>
        <w:t>A/3026/2016 - 20/24 - 9 août 2015 et de l'absence de fractures, la lésion du ligament scapho-triquétral dorsal ne pouvait s'expliquer par l'accident assuré, car il aurait fallu un mécanisme en flexion palmaire forcée pour léser ce ligament. La chambre de céans relèvera déjà que le Dr P______ part de la prémisse erronée que le recourant se serait réceptionné sur ses deux mains en chutant en avant le 9 août 2015, pour en déduire un impact palmaire bilatéral, éventuellement couplé avec une extension des poignets. Or, les premiers rapports versés au dossier font état d'une chute sur la main droite uniquement (déclaration de sinistre du</w:t>
      </w:r>
    </w:p>
    <w:p>
      <w:r>
        <w:rPr>
          <w:b/>
        </w:rPr>
        <w:t>E. 19</w:t>
      </w:r>
    </w:p>
    <w:p>
      <w:r>
        <w:t>août 2015 ; rapport du Dr D______ du 7 septembre 2015 et rapport du Dr F______ du 5 octobre 2015, p. 2). On relèvera également que l'absence d'un mécanisme en flexion palmaire forcée - invoquée par le Dr P______ - concerne en réalité le point de savoir si le facteur extérieur qui a déclenché les symptômes revêtait un caractère extraordinaire. Or, il convient de rappeler qu'un facteur extérieur soudain et involontaire suffit, même s'il ne présente pas un caractère extraordinaire, pour assimiler à un accident une lésion ligamentaire qu'il a déclenchée. Que cette lésion ait pu se produire, en l'absence de facteur extraordinaire, uniquement parce que le ligament était déjà fragilisé ne permet pas encore d'attribuer la lésion du ligament exclusivement à une maladie. Par ailleurs, selon le Dr P______, vu les antécédents traumatiques avec une perte importante de substance dorsale, la lésion du ligament scapho-triquétral dorsal correspond à une séquelle de l'accident de 1984. La chambre de céans constate qu'il résulte des rapports versés à la procédure que l'accident de 1984 n'a pas provoqué de lésions aux ligaments de la main droite du recourant, mais des lésions aux tendons qui ont nécessité des interventions chirurgicales (rapport du Dr E______ du 14 septembre 2015 et rapport du Dr J______ du 13 novembre 2015). Par conséquent, on ne saurait retenir que la lésion du ligament scapho-triquétral dorsal est une séquelle de l’accident de 1984. S'agissant de la lésion du TFCC, le Dr P______ a certes indiqué que la probabilité que cette lésion soit une séquelle de l'accident de 1984 apparaissait nettement plus haute. Il a toutefois ajouté qu'à trois mois de la chute assurée, on ne pouvait exclure complètement que cette déchirure puisse être récente, précisant que nonobstant un traumatisme qui n'apparaissait pas avoir été à haute énergie, le recourant avait pu présenter une symptomatologie en rapport avec cette lésion, comme cela avait été constaté de manière congruente au décours de la chute du 9 août 2015 (rapport du</w:t>
      </w:r>
    </w:p>
    <w:p>
      <w:r>
        <w:rPr>
          <w:b/>
        </w:rPr>
        <w:t>E. 22</w:t>
      </w:r>
    </w:p>
    <w:p>
      <w:r>
        <w:t>novembre 2016, soit une perte de substance, des adhérences et un déficit léger de fonctionnalité au niveau de l’index. Or, on rappellera que l'existence d'un état dégénératif antérieur à l'accident du 9 août 2015 n'est ni déterminant, ni suffisant pour nier le droit aux prestations lorsqu'il s'agit d'une lésion assimilée à un accident</w:t>
      </w:r>
    </w:p>
    <w:p>
      <w:r>
        <w:t>A/3026/2016 - 21/24 - au sens de l'art. 9 al. 2 OLAA. En effet, la question n'est pas de savoir si les lésions revêtent une origine uniquement accidentelle, mais plutôt si elles sont manifestement imputables à une maladie ou à des phénomènes dégénératifs. Ainsi, qu'une atteinte dégénérative ait vraisemblablement joué un rôle important, voire prépondérant, dans la survenance de la lésion, n'est pas déterminant (arrêts du Tribunal fédéral 8C_347/2013 du 18 février 2014 consid. 4.1 ; 8C_698/2007 du 27 octobre 2008 consid. 5.1). En l’occurrence, que la lésion du TFCC ait pu se produire parce que la main droite du recourant présentait une perte de substances ou des adhérences ne permet pas encore d’attribuer cette lésion exclusivement à la maladie. Au demeurant, on rappellera que le Dr P______ a conclu à l’absence d’arguments ou d’indices d’une origine dégénérative aux lésions présentées par le recourant au poignet droit (rapport du 22 novembre 2016, p. 7). Ainsi, dans la mesure où il n’est pas établi, au degré de la vraisemblance prépondérante, que les deux lésions ligamentaires seraient manifestement imputables à une maladie ou à des phénomènes dégénératifs, il y a lieu de conclure que la déchirure du ligament extrinsèque du carpe et la déchirure du ligament triangulaire fibro-cartilagineux complexe du carpe du poignet droit du recourant sont en lien de causalité avec la chute du 9 août 2015. L’intimée était donc tenue de prendre en charge les prestations légales relatives à ces lésions. Il convient encore de déterminer si ces atteintes ne sont plus en lien de causalité avec l'accident à compter du 12 mai 2016. On rappellera que conformément à la jurisprudence, ces lésions doivent être assimilées à un accident aussi longtemps que leur origine maladive, à l’exclusion d’une origine accidentelle, n’est pas clairement établie. En l’occurrence, ni le rapport du Dr F______, ni ceux du Dr P______, sur lesquels se fonde l’intimée, ne comportent une réelle motivation quant à un retour au statu quo sine/ante dès le 12 mai 2016. En effet, force est de constater que ni le Dr F______, ni le Dr P______ n’expliquent pour quelles raisons les lésions des deux ligaments seraient clairement et exclusivement d'origine maladive neuf mois après l’accident, puisqu’ils se contentent d’affirmer que la chute n’a pas entraîné de lésion déterminante ou structurelle (rapport du Dr F______ du 27 avril 2016 et rapport du Dr P______ du 22 novembre 2016, p. 7). Ainsi, aucun rapport versé au dossier ne permet de retenir que la lésion du ligament extrinsèque du carpe et la lésion du ligament triangulaire fibro-cartilagineux complexe du carpe du poignet droit ne sont plus imputables à l’accident du 9 août 2015. Par conséquent, c’est à tort que l’intimée a mis fin aux prestations légales au 11 mai 2016 concernant la lésion du ligament extrinsèque du carpe et la lésion du ligament triangulaire fibro-cartilagineux complexe du carpe du poignet droit du recourant. La décision litigieuse doit être annulée pour ce premier motif.</w:t>
      </w:r>
    </w:p>
    <w:p>
      <w:r>
        <w:t>A/3026/2016 - 22/24 - b. S'agissant des neuropathies sensitives, de la compression ulno-carpienne et stylo-carpienne et de l’instabilité de l'ECU, la chambre de céans constate que les rapports versés au dossier ne permettent pas de déterminer, au degré de la vraisemblance, si ces troubles sont en lien de causalité naturelle avec l'accident du 9 août 2015. En effet, si le Dr P______ a certes d'abord estimé que les atteintes neurologiques sensitives et l'instabilité du tendon de l'ECU n'avaient pas été causées par l'accident du 9 août 2015 (rapport du 22 novembre 2016, p. 5 et 6), de manière contradictoire, il a ensuite indiqué que ces atteintes s'expliquaient par une décompensation symptomatique due à la chute du 9 août 2015 (rapport précité, p. 7). Par ailleurs, le Dr J______ a indiqué que les atteintes sensitives étaient vraisemblablement en lien avec l’accident de 1984 (rapport du 13 novembre 2015), tout comme le Dr F______ (rapport du 27 avril 2016). Ce dernier a toutefois laissé entendre que la chute du 9 août 2015 avait joué un certain rôle par rapport à ces atteintes, en admettant que l'événement traumatique assuré ne les avait pas modifiées d'une façon « déterminante ». Enfin, le Dr N______ a certes estimé que la compression ulno-carpienne et stylo-carpienne et l’instabilité de l'ECU sont en lien de causalité avec l’accident du 9 août 2015. La chambre de céans ne saurait toutefois se fonder uniquement sur l’avis de ce chirurgien traitant. Compte tenu de ce qui précède, à défaut d'informations fiables et suffisantes sur l'existence d'un éventuel lien de causalité naturelle entre l'accident du 9 août 2015 et les neuropathies sensitives, la compression ulno-carpienne et stylo-carpienne et l’instabilité de l'ECU, la chambre de céans n’est pas en mesure de se déterminer sur cette question. La décision litigieuse doit donc également être annulée pour ce motif. La cause sera renvoyée à l'intimée, à charge pour elle de mettre en œuvre une instruction médicale complémentaire portant sur ces atteintes. 15. Le recours sera ainsi admis partiellement et la décision querellée annulée. Il sera dit que la lésion du ligament extrinsèque du carpe et la lésion du ligament triangulaire fibro-cartilagineux complexe du carpe du poignet droit du recourant sont en lien de causalité avec l'accident du 9 août 2015. L'intimée doit reprendre le versement des prestations légales relatives à ces deux atteintes à compter du 12 mai 2016 et la cause est renvoyée à l’intimée pour instruction médicale sur l’existence d’un éventuel lien de causalité naturelle entre l’accident du 9 août 2015 et les neuropathies sensitives, la compression ulno-carpienne et stylo-carpienne et l’instabilité de l'extenseur ulnaire du carpe. 16. Représenté par un mandataire, le recourant, qui obtient gain de cause, a droit à une indemnité de CHF 3'000.- à titre de dépens (art. 61 let. g LPGA ; art. 89 H de la loi sur la procédure administrative du 12 septembre 1985 [LPA - E 5 10] ; art. 6 du règlement sur les frais, émoluments et indemnités en procédure administrative du 30 juillet 1986 [RFPA - E 5 10.03]). 17. Pour le surplus, la procédure est gratuite (art. 61 let. a LPGA).</w:t>
      </w:r>
    </w:p>
    <w:p>
      <w:r>
        <w:t>A/3026/2016 - 23/24 -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