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ATAS/79/2010 vom 20. Januar 2010</w:t>
      </w:r>
    </w:p>
    <w:p>
      <w:r>
        <w:t>GE Cour de justice, 2010-01-20, FR</w:t>
      </w:r>
    </w:p>
    <w:p>
      <w:r>
        <w:rPr>
          <w:b/>
        </w:rPr>
        <w:t xml:space="preserve">Quelle: </w:t>
      </w:r>
      <w:r>
        <w:t>https://mcp.opencaselaw.ch/entscheid/ge_gerichte_ATAS_79_2010</w:t>
      </w:r>
    </w:p>
    <w:p>
      <w:r>
        <w:t>FR: GE_GERICHTE ATAS/79/2010 du 20 janvier 2010</w:t>
      </w:r>
    </w:p>
    <w:p>
      <w:r>
        <w:t>IT: GE_GERICHTE ATAS/79/2010 del 20 gennaio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Interjeté dans les délai et forme prescrits par la loi, le recours est recevable (art. 56ss LPGA).</w:t>
      </w:r>
    </w:p>
    <w:p>
      <w:r>
        <w:t>A/805/2009 - 9/13 -</w:t>
      </w:r>
    </w:p>
    <w:p>
      <w:r>
        <w:rPr>
          <w:b/>
        </w:rPr>
        <w:t>E. 3</w:t>
      </w:r>
    </w:p>
    <w:p>
      <w:r>
        <w:t>Est litigieuse en l’occurrence la question de savoir si les soins dentaires dont a fait l’objet la recourante sont à la charge de l’assurance obligatoire des soins.</w:t>
      </w:r>
    </w:p>
    <w:p>
      <w:r>
        <w:rPr>
          <w:b/>
        </w:rPr>
        <w:t>E. 4</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En particulier, l'art. 18 al. 1 let. c ch. 7 OPAS, prévoit que l'assurance prend en charge les soins dentaires occasionnés par les maladies psychiques graves avec une atteinte consécutive grave de la fonction de mastication ou ses séquelles et nécessaires à leur traitement. Selon la jurisprudence, l'anorexie constitue une maladie psychique grave au sens de cette dernière disposition (ATF 124 V 351).</w:t>
      </w:r>
    </w:p>
    <w:p>
      <w:r>
        <w:t>A/805/2009 - 10/13 - b) L'atteinte de la fonction masticatoire résultant, en cas de maladie psychique grave, d'une hygiène buccale insuffisante ne donne lieu à prestation que si la maladie psychique rendait impossible une hygiène buccale suffisante (ATF 128 V 70). En effet, l'affection doit être objectivement non évitable, ce qui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n'est pas contesté que la recourante souffre d'une anorexie, soit d'une maladie psychique grave au sens de l'art. 18 al. 1 let. c ch. 7 OPAS. Toutefois, l'intimée estime, sur la base de l'avis du Dr N________, que les caries de la recourante ne peuvent avoir leur origine que dans un phénomène carieux indépendant de la présence d'acide gastrique causée par sa maladie. D'autre part, le dentiste-conseil de l'intimée nie qu'il s'agisse en l'espèce d'une affection dentaire non évitable et reproche à la recourante de ne pas avoir observé une hygiène buccale suffisante. a) En ce qui concerne le lien de causalité entre les lésions dentaires et l'anorexie, il ne saurait être considéré que, du fait que la recourante ne présente que "quelques décalcifications, éventuellement caries aux points de contact", selon le Dr N________, ces atteintes ne sont pas en rapport avec l'anorexie. En effet, si l'anorexie peut conduire à la destruction généralisée de l'émail, la désinfection parodontale, la perte de substances occlusale et palatine et des érosions planes des parties non recouvertes par l'émail, les racines et les collets (cf. arrêt K 181/00 du</w:t>
      </w:r>
    </w:p>
    <w:p>
      <w:r>
        <w:t>A/805/2009 - 11/13 - 26 avril 2002 consid. 5 c), elle peut a fortiori également être la cause de lésions mineures et de caries. b) Quant à l'hygiène buccale, il ressort du dossier que le médecin-dentiste D________ a soigné la recourante aux Etats-Unis de 1992 à 2002. Encore au-delà de cette date, ce dentiste a continué à suivre l'évolution de ses problèmes dentaires lorsqu'elle venait rendre visite à sa famille, la dernière fois en décembre 2006 (une année et demie à compter de son attestation du 27 juin 2008). Il a attesté qu'elle venait faire des check-up de routine deux fois par an avec un hygiéniste et lui- même et qu'elle prenait soin de ses dents. Par ailleurs, elle n'a connu aucun problème dentaire jusqu'au début de sa vingtième année, selon ce dentiste. Dès août 2004, la recourante a été prise en charge par le médecin-dentiste L__________, lequel a procédé à des contrôles et soins de prophylaxie en août 2004, en avril 2006, en mai et novembre 2007, ainsi qu'en avril et novembre 2008. Il est vrai que cela ne correspond pas à deux contrôles par an, ce qui est jugé généralement nécessaire pour prévenir des dommages aux dents en présence d'une anorexie. Toutefois, comme le médecin-dentiste D________ l'a déclaré, elle était également suivie jusqu'à fin 2006, encore par ce dernier. Le médecin-dentiste L__________ a en outre attesté qu'il a mis sur pied des mesures prophylactiques poussées que sa patiente a accepté et exécuté à la lettre. Il s'agit d'applications topiques de gelée fluorée hautement concentrée à l'aide de gouttières, de bains de bouche fluorés systématiquement utilisés après chaque vomissement, et de l'application quotidienne de Tooth Mousse après chaque crise de vomissement, quelle que soit sa fréquence, depuis le mois de mai 2007. Selon ce dentiste, la patiente semble par ailleurs très appliquée à utiliser les moyens d'hygiène inter-dentaire. A cet égard, il relève que lui-même et son hygiéniste ont constaté une excellente hygiène, soit l'absence de dépôt de plaque, une accumulation de tartre rare, une inflammation gingivale nulle, absence de saignement aux sondages et aux détartrages. Le fait que la recourante ne présente que quelques caries de moindre importance constitue en outre un indice qu'elle a dû vouer beaucoup de soins à ses dents. En effet, comme l'intimée l'admet, l'anorexie provoque à défaut des lésions importantes. Au vu de ces éléments, le Tribunal de céans admettra qu'au degré de la vraisemblance prépondérante la recourante a observé une hygiène buccale suffisante, compte tenu de sa maladie, de sorte que les caries qu'elle a présentées étaient inévitables.</w:t>
      </w:r>
    </w:p>
    <w:p>
      <w:r>
        <w:rPr>
          <w:b/>
        </w:rPr>
        <w:t>E. 7</w:t>
      </w:r>
    </w:p>
    <w:p>
      <w:r>
        <w:t>Concernant les factures que la recourante a transmises à l'intimée pour remboursement, cette dernière n'a pas mis en cause leur bien-fondé. Il ressort cependant de la facture du 21 décembre 2007 qu'elle comprend également la</w:t>
      </w:r>
    </w:p>
    <w:p>
      <w:r>
        <w:t>A/805/2009 - 12/13 - facturation d'un rendez-vous manqué d'un montant de 94 fr. 50. Celui-ci ne saurait être à la charge de l'assureur-maladie, raison pour laquelle il y a lieu de déduire cette somme du montant total, lequel s'élève dès lors à 3'453 fr. (chiffre arrondi). Enfin, il convient de déduire de ce montant la franchise et la participation aux frais médicaux.</w:t>
      </w:r>
    </w:p>
    <w:p>
      <w:r>
        <w:rPr>
          <w:b/>
        </w:rPr>
        <w:t>E. 8</w:t>
      </w:r>
    </w:p>
    <w:p>
      <w:r>
        <w:t>Cela étant, le recours sera partiellement admis.</w:t>
      </w:r>
    </w:p>
    <w:p>
      <w:r>
        <w:rPr>
          <w:b/>
        </w:rPr>
        <w:t>E. 9</w:t>
      </w:r>
    </w:p>
    <w:p>
      <w:r>
        <w:t>L'intimée qui succombe largement sera condamnée à verser à la recourante une indemnité de 1'500 fr. à titre de dépens.</w:t>
      </w:r>
    </w:p>
    <w:p>
      <w:r>
        <w:t>A/805/2009 - 13/13 -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