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ATAS/79/2009 vom 20. Januar 2009</w:t>
      </w:r>
    </w:p>
    <w:p>
      <w:r>
        <w:t>GE Cour de justice, 2009-01-20, FR</w:t>
      </w:r>
    </w:p>
    <w:p>
      <w:r>
        <w:rPr>
          <w:b/>
        </w:rPr>
        <w:t xml:space="preserve">Quelle: </w:t>
      </w:r>
      <w:r>
        <w:t>https://mcp.opencaselaw.ch/entscheid/ge_gerichte_ATAS_79_2009</w:t>
      </w:r>
    </w:p>
    <w:p>
      <w:r>
        <w:t>FR: GE_GERICHTE ATAS/79/2009 du 20 janvier 2009</w:t>
      </w:r>
    </w:p>
    <w:p>
      <w:r>
        <w:t>IT: GE_GERICHTE ATAS/79/2009 del 20 gennaio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t>A/3112/2008 - 4/8 -</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droit de l'assurée à des prestations AI et plus particulièrement sur la détermination de son degré d'invalidité.</w:t>
      </w:r>
    </w:p>
    <w:p>
      <w:r>
        <w:rPr>
          <w:b/>
        </w:rPr>
        <w:t>E. 5</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w:t>
      </w:r>
    </w:p>
    <w:p>
      <w:r>
        <w:rPr>
          <w:b/>
        </w:rPr>
        <w:t>E. 5.3</w:t>
      </w:r>
    </w:p>
    <w:p>
      <w:r>
        <w:t>et consid. 6). 7.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la jurisprudence citée).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 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w:t>
      </w:r>
    </w:p>
    <w:p>
      <w:r>
        <w:t>A/3112/2008 - 6/8 - conclusions de ce dernier par le juge ou, au besoin, une instruction complémentaire sous la forme d'une nouvelle expertise médicale (ATF 125 V 352 consid. 3b/aa et les références). Il convient également de rappeler que, pour ce qui concerne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6</w:t>
      </w:r>
    </w:p>
    <w:p>
      <w:r>
        <w:t>Parmi les atteintes à la santé psychique, qui peuvent, comme les atteintes physiques, provoquer une invalidité au sens de l'art. 4 al. 1 LAI en liaison avec l'art.</w:t>
      </w:r>
    </w:p>
    <w:p>
      <w:r>
        <w:rPr>
          <w:b/>
        </w:rPr>
        <w:t>E. 8</w:t>
      </w:r>
    </w:p>
    <w:p>
      <w:r>
        <w:t>En l'espèce, se fondant sur l'examen des Drs C__________ et D__________ du 27 octobre 2007, l'OCAI a considéré que les rachialgies et la fibromyalgie dont souffrait l'assurée ne suffisaient pas pour constituer des atteintes invalidantes et refusé toute prestation AI. Les médecins du SMR ont en effet fixé la capacité de travail de l'assurée à 100% dans une activité adaptée et à 80% comme nettoyeuse de bureaux, sans les sols. Ils n'ont retenu aucun diagnostic sur le plan psychiatrique, n'admettant même pas la présence d'un épisode dépressif léger. Le Dr B__________, médecin traitant, a quant à lui affirmé que sa patiente était incapable de travailler à 50%, au motif qu'elle présentait des cervico-lombalgies, du surpoids et un état dépressif chronique.</w:t>
      </w:r>
    </w:p>
    <w:p>
      <w:r>
        <w:rPr>
          <w:b/>
        </w:rPr>
        <w:t>E. 9</w:t>
      </w:r>
    </w:p>
    <w:p>
      <w:r>
        <w:t>Le Tribunal de céans constate que l'examen réalisé par les Drs C__________ et D__________ remplit tous les réquisits de la jurisprudence permettant de lui attribuer pleine valeur probante. Ils ont expliqué en quoi consistait les atteintes à la santé de l'assurée, leurs conclusions sont claires et bien motivées, de sorte que le Tribunal n'a a priori aucune raison de s'en écarter. Il s'agit toutefois de déterminer si l'appréciation du Dr B__________ est de nature à les mettre en doute. Le Tribunal de céans relève que les médecins du SMR ont qualifié les troubles dégénératifs du rachis lombaire de modérés. S'agissant du diagnostic de dépression, il est utile d'objectiver s'il s'agit d'un épisode dépressif transitoire ou d'un trouble affectif grave durable pour une évaluation de la capacité de travail. Des indications sur le pronostic avec un traitement approprié sont indispensables (cf. chiffre 1015 de la Circulaire concernant l'invalidité et l'impotence de l'assurance-invalidité). En l'espèce, aucun diagnostic psychiatrique invalidant n'a été retenu par les médecins du SMR. Force est de constater que l'état dépressif chronique dont fait</w:t>
      </w:r>
    </w:p>
    <w:p>
      <w:r>
        <w:t>A/3112/2008 - 7/8 - état le Dr B__________ constitue plutôt un épisode dépressif transitoire et ne présente pas une sévérité telle qu'il exclut toute mise en valeur de la capacité de travail de l'assurée.</w:t>
      </w:r>
    </w:p>
    <w:p>
      <w:r>
        <w:rPr>
          <w:b/>
        </w:rPr>
        <w:t>E. 10</w:t>
      </w:r>
    </w:p>
    <w:p>
      <w:r>
        <w:t>Il est superflu en l'espèce de chiffrer avec exactitude les revenus avec et sans invalidité déterminants. Compte tenu de la capacité de travail fixée par les médecins du SMR dans l'activité de nettoyage, le degré d'invalidité ne dépasse quoi qu'il en soit pas 20%, taux insuffisant pour justifier le droit à une rente d'invalidité. Aussi le recours, mal fondé, doit-il être rejeté.</w:t>
      </w:r>
    </w:p>
    <w:p>
      <w:r>
        <w:t>A/3112/2008 - 8/8 -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