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ATAS/799/2023 vom 20. Oktober 2023</w:t>
      </w:r>
    </w:p>
    <w:p>
      <w:r>
        <w:t>GE Cour de justice, 2023-10-20, FR</w:t>
      </w:r>
    </w:p>
    <w:p>
      <w:r>
        <w:rPr>
          <w:b/>
        </w:rPr>
        <w:t xml:space="preserve">Quelle: </w:t>
      </w:r>
      <w:r>
        <w:t>https://mcp.opencaselaw.ch/entscheid/ge_gerichte_ATAS_799_2023</w:t>
      </w:r>
    </w:p>
    <w:p>
      <w:r>
        <w:t>FR: GE_GERICHTE ATAS/799/2023 du 20 octobre 2023</w:t>
      </w:r>
    </w:p>
    <w:p>
      <w:r>
        <w:t>IT: GE_GERICHTE ATAS/799/2023 del 20 ottobre 2023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suisse du 10 décembre 1907 [CC - RS 210]). Sa compétence pour juger du cas d’espèce est ainsi établie.</w:t>
      </w:r>
    </w:p>
    <w:p>
      <w:r>
        <w:rPr>
          <w:b/>
        </w:rPr>
        <w:t>E. 1.2</w:t>
      </w:r>
    </w:p>
    <w:p>
      <w:r>
        <w:t>Aux termes de l’art. 73 al. 3 LPP, le for est au siège ou domicile suisse du défendeur ou au lieu de l’exploitation dans laquelle l’assuré a été engagé. La défenderesse ayant son siège dans le canton de Genève, la compétence de la Cour de céans pour juger du cas d’espèce est établie.</w:t>
      </w:r>
    </w:p>
    <w:p>
      <w:r>
        <w:rPr>
          <w:b/>
        </w:rPr>
        <w:t>E. 1.3</w:t>
      </w:r>
    </w:p>
    <w:p>
      <w:r>
        <w:t>Respectant la forme prévue à l'art. 89B de la loi sur la procédure administrative du 12 septembre 1985 (LPA - E 5 10), la demande est recevable.</w:t>
      </w:r>
    </w:p>
    <w:p>
      <w:r>
        <w:rPr>
          <w:b/>
        </w:rPr>
        <w:t>E. 2</w:t>
      </w:r>
    </w:p>
    <w:p>
      <w:r>
        <w:t>Le litige porte sur la demande en mainlevée de l'opposition faite au commandement de payer.</w:t>
      </w:r>
    </w:p>
    <w:p>
      <w:r>
        <w:rPr>
          <w:b/>
        </w:rPr>
        <w:t>E. 2.1</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w:t>
      </w:r>
    </w:p>
    <w:p>
      <w:r>
        <w:t>A/4122/2022 - 4/8 - l’employeur qui n’a pas obtempéré à cette injonction est annoncé à l’institution supplétive (art. 60) pour affiliation rétroactive (al. 6).</w:t>
      </w:r>
    </w:p>
    <w:p>
      <w:r>
        <w:rPr>
          <w:b/>
        </w:rPr>
        <w:t>E. 2.2</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 pt. e /bb et les références). Des intérêts ne peuvent être portés en compte pour cause de retard dans les intérêts moratoires (art. 105 al. 3 CO ; RSAS 2003 p. 500 consid. 6.1).</w:t>
      </w:r>
    </w:p>
    <w:p>
      <w:r>
        <w:rPr>
          <w:b/>
        </w:rPr>
        <w:t>E. 2.3</w:t>
      </w:r>
    </w:p>
    <w:p>
      <w:r>
        <w:t>Aux termes du ch. 2.1 de la convention d’affiliation conclue entre les parties, les droits et les devoirs respectifs des parties contractantes ressortent des dispositions de la présente convention d'affiliation, ainsi que de celles du règlement pour frais de gestion, de l'acte de fondation, du règlement électoral et du règlement d'organisation. Les obligations de la défenderesse relatives au « paiement des cotisations/échéances » sont précisées au chapitre 5 (ch. 5.1 à 5.7) des conditions de la convention. En particulier, le ch. 5.1 précise que l'employeur s'engage à verser les contributions facturées par [la fondation]. Selon le ch. 5.4,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(al. 3). Pour la fin de l'année civile, la [fondation] établit un relevé du compte d'encaissement. Le solde indiqué sur ce relevé sera considéré comme approuvé dans la mesure où l'entreprise affiliée ne le conteste pas par écrit dans un délai de quatre semaines après réception du relevé (al. 4).</w:t>
      </w:r>
    </w:p>
    <w:p>
      <w:r>
        <w:t>A/4122/2022 - 5/8 - Le chapitre 7 des conditions de la convention traite de la « mise en vigueur/résiliation/dissolution », le ch. 7.3 réglant en particulier le droit de résiliation avec effet immédiat en cas de retard de paiement ou en cas de non-respect des obligations concernant la coopération. Le règlement pour frais de gestion, qui fait partie intégrante de la convention (ch. 2.1 des conditions de la convention), prévoit le montant des frais pour des cotisations encore impayées, relatifs à la « sommation par lettre signature en rapport avec le paiement des cotisations arriérées encore dues » de CHF 300.-, au « plan d'amortissement » de CHF 250.-, et aux « poursuites (non compris les frais officiels) », soit la « réquisition de poursuite » sans montant indiqué, la « réquisition de continuer la poursuite » à hauteur de CHF 500.- et la « réquisition de faillite, respectivement de réalisation de gage » à concurrence de CHF 500.- (ch. 2 al. 1).</w:t>
      </w:r>
    </w:p>
    <w:p>
      <w:r>
        <w:rPr>
          <w:b/>
        </w:rPr>
        <w:t>E. 2.4</w:t>
      </w:r>
    </w:p>
    <w:p>
      <w:r>
        <w:t>Aux termes de l'art. 41 al. 2 LPP, les actions en recouvrement de créances se prescrivent par cinq ans quand elles portent sur des cotisations ou des prestations périodiques, par dix ans dans les autres cas. Les art. 129 à 142 CO sont applicables.</w:t>
      </w:r>
    </w:p>
    <w:p>
      <w:r>
        <w:rPr>
          <w:b/>
        </w:rPr>
        <w:t>E. 2.5</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 dont les décisions sont susceptibles d'un recours administratif auprès d'une autorité fédérale ou d'un recours de droit administratif (GILLIERON,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w:t>
      </w:r>
    </w:p>
    <w:p>
      <w:r>
        <w:t>A/4122/2022 - 6/8 -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w:t>
      </w:r>
    </w:p>
    <w:p>
      <w:r>
        <w:rPr>
          <w:b/>
        </w:rPr>
        <w:t>E. 2.6</w:t>
      </w:r>
    </w:p>
    <w:p>
      <w:r>
        <w:t>En l’occurrence, la demande a été formée dans le délai de prescription de cinq ans. Le commandement de payer a été notifié à la défenderesse le 20 octobre 2022, date à laquelle le délai de péremption d’un an de l’art. 88 al. 2 de la loi fédérale sur la poursuite pour dettes et la faillite du 11 avril 1889 (LP - RS 281.1) a commencé à courir. Par conséquent, celui-ci n’était pas atteint lorsque la demanderesse a saisi la chambre de céans, le 2 décembre 2022, ce délai ne courant par ailleurs pas durant la présente procédure judiciaire, vu l'opposition de la société. En sa qualité d'employeur occupant des salariés, la défenderesse devait obligatoirement être affiliée à une caisse de prévoyance professionnelle, ce qui n'est pas contesté. Il ressort de l'ensemble des pièces produites par la demanderesse – au nombre desquelles figure l’extrait de compte du</w:t>
      </w:r>
    </w:p>
    <w:p>
      <w:r>
        <w:rPr>
          <w:b/>
        </w:rPr>
        <w:t>E. 3</w:t>
      </w:r>
    </w:p>
    <w:p>
      <w:r>
        <w:t>La fondation a pris des conclusions « sous suite de frais et dépens ».</w:t>
      </w:r>
    </w:p>
    <w:p>
      <w:r>
        <w:rPr>
          <w:b/>
        </w:rPr>
        <w:t>E. 3.1</w:t>
      </w:r>
    </w:p>
    <w:p>
      <w:r>
        <w:t>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w:t>
      </w:r>
    </w:p>
    <w:p>
      <w:r>
        <w:t>A/4122/2022 - 7/8 -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rPr>
          <w:b/>
        </w:rPr>
        <w:t>E. 3.2</w:t>
      </w:r>
    </w:p>
    <w:p>
      <w:r>
        <w:t>En l’espèce, la chambre de céans constate que la défenderesse a admis la dette et proposé un arrangement de paiement. Ainsi même si elle n’a pas répondu aux courriers de la chambre de céans, ni ne s’est présentée à l’audience de comparution personnelle, son attitude ne saurait être qualifiée de légère. Il sera en conséquence renoncé aux dépens. À noter que l’arrangement de paiement requis par la défenderesse sort de l’objet de la présente procédure mais pourra toujours être requis directement auprès de la fondation.</w:t>
      </w:r>
    </w:p>
    <w:p>
      <w:r>
        <w:t>A/4122/2022 - 8/8 -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