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ATAS/799/2014 vom 27. Juni 2014</w:t>
      </w:r>
    </w:p>
    <w:p>
      <w:r>
        <w:t>GE Cour de justice, 2014-06-27, FR</w:t>
      </w:r>
    </w:p>
    <w:p>
      <w:r>
        <w:rPr>
          <w:b/>
        </w:rPr>
        <w:t xml:space="preserve">Quelle: </w:t>
      </w:r>
      <w:r>
        <w:t>https://mcp.opencaselaw.ch/entscheid/ge_gerichte_ATAS_799_2014</w:t>
      </w:r>
    </w:p>
    <w:p>
      <w:r>
        <w:t>FR: GE_GERICHTE ATAS/799/2014 du 27 juin 2014</w:t>
      </w:r>
    </w:p>
    <w:p>
      <w:r>
        <w:t>IT: GE_GERICHTE ATAS/799/2014 del 27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w:t>
      </w:r>
    </w:p>
    <w:p>
      <w:r>
        <w:t>A/1539/2013 - 4/12 - l'art. 134 al. 3 let. a LOJ, sur les contestations prévues à l'art. 43 de la loi cantonale sur les prestations cantonales complémentaires du 25 octobre 1968 (LPCC; RS J 4 25). La compétence de la Chambre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Le litige porte sur le droit aux prestations complémentaires des recourants, en particulier sur l'intégration dans le calcul de montants correspondant à des biens dessaisis.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un quinzième de la fortune nette, un dixième pour les bénéficiaires de rentes de vieillesse, dans la mesure où elle dépasse CHF 37'500.- pour les personnes seules, les ressources et parts de fortune dont un ayant droit s’est dessaisi (art. 11 al. 1 let. b, c et g LPC). Ont droit aux prestations complémentaires cantonales les personnes dont le revenu annuel déterminant n’atteint pas le revenu minimum cantonal d’aide sociale applicable (art. 4 LPCC).</w:t>
      </w:r>
    </w:p>
    <w:p>
      <w:r>
        <w:rPr>
          <w:b/>
        </w:rPr>
        <w:t>E. 6</w:t>
      </w:r>
    </w:p>
    <w:p>
      <w:r>
        <w:t>a. L'objectif de la loi sur les prestations complémentaires à l'AVS et à l'AI est de compléter les prestations servies par les deux assurances citées pour le cas où ces prestations ne suffiraient pas à couvrir de façon appropriée les besoins vitaux d'un</w:t>
      </w:r>
    </w:p>
    <w:p>
      <w:r>
        <w:t>A/1539/2013 - 5/12 -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w:t>
      </w:r>
    </w:p>
    <w:p>
      <w:r>
        <w:rPr>
          <w:b/>
        </w:rPr>
        <w:t>E. 9</w:t>
      </w:r>
    </w:p>
    <w:p>
      <w:r>
        <w:t>a.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loi. L'alinéa 5 précise que les caisses de pension sont tenues d'en informer leurs membres en temps utile. b.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w:t>
      </w:r>
    </w:p>
    <w:p>
      <w:r>
        <w:t>A/1539/2013 - 9/12 -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c. Dans un arrêt de principe du 21 juin 2012 (ATAS/828/2012), la Chambre de céans a rappelé que le législateur cantonal avait valablement adopté l’art. 2 al. 4 LPCC, disposant de la latitude accordée par la LPC pour fixer les conditions d’octroi des prestations cantonales. Le texte de la disposition et la volonté du législateur empêchaient d’étendre la notion de « but de prévoyance », qui était atteint lorsque le capital était utilisé pour constituer une rente viagère, acquérir un logement ou pour la couverture des besoins vitaux de l’assuré et de sa famille. Ainsi, on ne pouvait pas retenir que l’assuré qui avait disposé de son capital LPP était totalement et définitivement privé de prestations complémentaires cantonales, lorsqu’il avait consacré son capital à son entretien. La couverture des besoins vitaux devait être calculée conformément aux norme et barème déterminants pour l’octroi des prestations complémentaires cantonales, en y ajoutant cependant les dépenses effectives prouvées et incontournables (impôts, frais de santé, etc.). Il ne se justifiait toutefois pas de limiter ces dépenses à celles retenues du point de vue fiscal. Toutefois, dans la mesure où le législateur avait voulu éviter les abus de la part des assurés qui n’optaient pas pour une rente de retraite qui leur aurait permis d’assurer à vie, en complément de l’AVS, l’essentiel de la couverture de leurs besoins vitaux, mais dépensaient leur capital, puis obtenaient des prestations complémentaires auxquelles ils n’auraient pas eu droit en cas de rente, il convenait de tenir compte de la situation financière qui aurait été la leur s’ils avaient reçu une rente LPP.</w:t>
      </w:r>
    </w:p>
    <w:p>
      <w:r>
        <w:t>A/1539/2013 - 10/12 -</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w:t>
      </w:r>
    </w:p>
    <w:p>
      <w:r>
        <w:rPr>
          <w:b/>
        </w:rPr>
        <w:t>E. 11</w:t>
      </w:r>
    </w:p>
    <w:p>
      <w:r>
        <w:t>En l’espèce, il convient d’examiner si le montant retenu à titre de bien dessaisi et son produit hypothétique est correct. En premier lieu, il n'est pas nécessaire d'examiner la situation au 31 décembre de chaque année. Il suffit de déterminer si la différence de fortune entre le moment où a été retiré le capital de prévoyance et le 31 décembre 2012, date déterminante pour l'octroi de prestations dès le 1er janvier 2013, est justifiée par des dépenses. En second lieu, il apparaît manifeste que la rente AVS du recourant n’était pas suffisante pour couvrir les dépenses courantes du couple. Les recourants allèguent n’avoir bénéficié durant trois ans que de la seule rente AVS du recourant. Il apparaît ainsi vraisemblable qu’ils ont dû régulièrement puiser dans leurs économies pour faire face à leurs charges fixes, dont l’intimé n’a pas cherché à établir à quel montant elles s’élevaient (loyer, impôts courants, primes d'assurance, franchise assurance-maladie, participation assurance-maladie, auxquelles il faut ajouter le forfait pour dépenses courantes applicable aux prestations fédérales - CHF 19'210.- - et, à l'instar de ce que le Tribunal fédéral retient, un montant</w:t>
      </w:r>
    </w:p>
    <w:p>
      <w:r>
        <w:t>A/1539/2013 - 11/12 - complémentaire de CHF 1'000.- par mois qu'un assuré dépense en général en plus lorsqu'il n'est pas restreint par le forfait du SPC). Or, il est nécessaire d’établir quel était le montant des charges du couple durant les années considérées pour déterminer quel montant a dû être prélevé sur leurs économies après avoir dépensé leurs revenus. En l’état, la Chambre de céans ne dispose pas de suffisamment d’éléments pour procéder au calcul susmentionné. Il convient donc de renvoyer la cause à l’intimé, à charge pour ce dernier de procéder aux investigations nécessaires pour établir notamment le montant des charges courantes des recourants durant la période du « dessaisissement ».</w:t>
      </w:r>
    </w:p>
    <w:p>
      <w:r>
        <w:rPr>
          <w:b/>
        </w:rPr>
        <w:t>E. 12</w:t>
      </w:r>
    </w:p>
    <w:p>
      <w:r>
        <w:t>Eu égard aux considérations qui précèdent, le recours est partiellement admis.</w:t>
      </w:r>
    </w:p>
    <w:p>
      <w:r>
        <w:t>A/1539/2013 - 12/12 - PAR CES MOTIFS, LA CHAMBRE DES ASSURANCES SOCIALES : Statuant A la forme : 1. Déclare le recours recevable. Au fond : 2. L’admet partiellement au sens des considérants. 3. Annule la décision du 23 avril 2013. 4. Renvoie la cause à l’intimé pour instruction complémentaire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