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ATAS/798/2022 vom 1. September 2022</w:t>
      </w:r>
    </w:p>
    <w:p>
      <w:r>
        <w:t>GE Cour de justice, 2022-09-01, FR</w:t>
      </w:r>
    </w:p>
    <w:p>
      <w:r>
        <w:rPr>
          <w:b/>
        </w:rPr>
        <w:t xml:space="preserve">Quelle: </w:t>
      </w:r>
      <w:r>
        <w:t>https://mcp.opencaselaw.ch/entscheid/ge_gerichte_ATAS_798_2022</w:t>
      </w:r>
    </w:p>
    <w:p>
      <w:r>
        <w:t>FR: GE_GERICHTE ATAS/798/2022 du 1 septembre 2022</w:t>
      </w:r>
    </w:p>
    <w:p>
      <w:r>
        <w:t>IT: GE_GERICHTE ATAS/798/2022 del 1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A/753/2022 - 4/5 -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Cependant, l’art. 52 al. 1 LPGA prévoit qu’avant d’être soumises au tribunal, les décisions d’un assureur doivent être attaquées dans les trente jours par voie d’opposition auprès de l’assureur qui les a rendues. En l’occurrence, il est vrai que la situation créée par l'intimé par la notification de sa décision du 19 mai 2022 peut porter à confusion, puisque dite décision a été rendue postérieurement à l'arrêt de la Cour de céans et ne tient pas compte de l'accord pourtant avalisé dans celui-ci, bien qu'elle concerne une période comprise dans celle visée par l'arrêt. On ne peut que déplorer la façon de faire du SPC, consistant à rendre, parallèlement, plusieurs décisions concernant une même période, de nature à entraver encore la compréhension, par les assurés, d'une situation et de calculs parfois difficiles à appréhender. Cela étant, force est de constater que la décision du 19 mai 2022 ici mise en cause par la recourante est une nouvelle décision, contre laquelle l'assurée n’a pas encore épuisé les voies de droit qui s’offraient à elle avant de saisir la Cour et qui étaient pourtant expressément mentionnées. Or, 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Il convient dès lors de considérer le « recours » interjeté par l’assurée auprès de la Cour de céans comme irrecevable, car prématuré.</w:t>
      </w:r>
    </w:p>
    <w:p>
      <w:r>
        <w:rPr>
          <w:b/>
        </w:rPr>
        <w:t>E. 3</w:t>
      </w:r>
    </w:p>
    <w:p>
      <w:r>
        <w:t>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w:t>
      </w:r>
    </w:p>
    <w:p>
      <w:r>
        <w:rPr>
          <w:b/>
        </w:rPr>
        <w:t>E. 4</w:t>
      </w:r>
    </w:p>
    <w:p>
      <w:r>
        <w:t>En conséquence, le « recours » doit donc être considéré comme une opposition et être transmis à l'intimé comme objet de sa compétence, à charge pour ce dernier de rendre une décision sur opposition, décision contre laquelle la bénéficiaire pourra alors interjeter recours si elle ne lui donne pas satisfaction. Par souci de clarté, il serait souhaitable que l'intimé intègre le traitement de l'opposition dans la décision qu'il rendra suite à l'arrêt de la Cour, afin que la bénéficiaire ne soit confrontée qu'à une seule et même décision concernant toute la période.</w:t>
      </w:r>
    </w:p>
    <w:p>
      <w:r>
        <w:t>A/753/2022 - 5/5 -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