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ATAS/798/2021 vom 10. August 2021</w:t>
      </w:r>
    </w:p>
    <w:p>
      <w:r>
        <w:t>GE Cour de justice, 2021-08-10, FR</w:t>
      </w:r>
    </w:p>
    <w:p>
      <w:r>
        <w:rPr>
          <w:b/>
        </w:rPr>
        <w:t xml:space="preserve">Quelle: </w:t>
      </w:r>
      <w:r>
        <w:t>https://mcp.opencaselaw.ch/entscheid/ge_gerichte_ATAS_798_2021</w:t>
      </w:r>
    </w:p>
    <w:p>
      <w:r>
        <w:t>FR: GE_GERICHTE ATAS/798/2021 du 10 août 2021</w:t>
      </w:r>
    </w:p>
    <w:p>
      <w:r>
        <w:t>IT: GE_GERICHTE ATAS/798/2021 del 10 agosto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4</w:t>
      </w:r>
    </w:p>
    <w:p>
      <w:r>
        <w:t>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Le litige porte sur le droit du recourant à une rente d'invalidité et à des mesures d'ordre professionnel. Sont en particulier litigieux l'évaluation de la capacité du recourant à exercer une activité adaptée et le calcul du degré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A/2776/2020 - 10/25 -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A/2776/2020 - 11/25 - Sans remettre en cause le principe de la libre appréciation des preuves, le Tribunal fédéral des assurances a posé des lignes directrices en ce qui concerne la manière d'apprécier certains types d'expertises ou de rapports médicaux. 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En ce qui concerne les facteurs psychosociaux ou socioculturels et leur rôle en matière d'invalidité, ils ne figurent pas au nombre des atteintes à la santé</w:t>
      </w:r>
    </w:p>
    <w:p>
      <w:r>
        <w:t>A/2776/2020 - 12/25 -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w:t>
      </w:r>
    </w:p>
    <w:p>
      <w:r>
        <w:t>A/2776/2020 - 13/25 -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w:t>
      </w:r>
    </w:p>
    <w:p>
      <w:r>
        <w:t>A/2776/2020 - 14/25 - dans laquelle le poste de travail de l'assuré avant la survenance de l'atteinte à la santé n'existe plus au moment déterminant de l'évaluation de l'invalidité (arrêts du Tribunal fédéral des assurances I 168/05 du 24 avril 2006 consid. 3.3 et B 80/01 du</w:t>
      </w:r>
    </w:p>
    <w:p>
      <w:r>
        <w:rPr>
          <w:b/>
        </w:rPr>
        <w:t>E. 17</w:t>
      </w:r>
    </w:p>
    <w:p>
      <w:r>
        <w:t>octobre 2003 consid. 5.2.2). c.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la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9C_826/2017 du 28 mai 2018 consid. 5.2 ; 9C_106/2011 du 14 octobre 2011 consid. 4.3, I 83/97 du 16 octobre 1997 consid. 2c, in VSI 1998 p. 121, et I 432/97 du 30 mars 1998 consid. 4a, in VSI 1998 p. 255). Il convient de distinguer clairement la situation personnelle de la personne assurée, seule déterminante au regard de l'assurance-invalidité, de celle de l'entreprise dont elle est la propriétaire économique (arrêt du Tribunal fédéral 9C_572/2010 du 25 mars 2011, consid. 3.5 in fine). Le revenu sans invalidité d'un indépendant ne doit pas être considéré d'une manière statique. Ainsi, lorsque ce revenu se fonde sur le revenu imposable des années précédentes, il doit être adapté non seulement au renchérissement, mais également au développement réel du revenu (arrêt du Tribunal fédéral des assurances I 181/05 du 3 février 2006 consid. 2). Par ailleurs, il faut se demander quel aurait été le développement probable de l'entreprise de l'intéressé s'il n'avait pas été atteint dans sa santé, ceci compte tenu de ses aptitudes professionnelles et personnelles, du genre d'activité ainsi que de la structure et de la marche de l'entreprise avant la survenance de l'invalidité (Michel VALTERIO, Droit de l'assurance-vieillesse et survivants et de l'assurance-invalidité, 2011, p. 558). Il convient aussi de tenir compte du fait que les personnes qui se mettent à leur compte ne réalisent pas, au début de leur nouvelle activité, les mêmes revenus que des entrepreneurs établis depuis plusieurs années et qu'elles consentent souvent des sacrifices financiers importants durant cette période. En certaines circonstances, les bénéfices réalisés pendant la phase de développement d'une entreprise et encore moins les pertes ne doivent pas être pris en considération pour la détermination du revenu sans invalidité (arrêt du Tribunal fédéral des assurance I 121/06 du 27 avril 2006 consid. 3 ; Michel VALTERIO, op. cit., n. 2093 et 2094).</w:t>
      </w:r>
    </w:p>
    <w:p>
      <w:r>
        <w:t>A/2776/2020 - 15/25 - Si l'assuré a cessé toute activité indépendante, on peut renoncer à l'application de la méthode de calcul extraordinaire et appliquer la méthode générale. Dans ce cas-là, en effet, la comparaison des activités exercées avant et après la survenance de l'invalidité n'est plus possible (arrêt du Tribunal administratif fédéral C-6725/2014 du 6 novembre 2017 consid. 9.1 et les références). Selon la circulaire sur l'invalidité et l'impotence de l'assurance-invalidité (ci-après : CIIAI), pour évaluer le revenu sans invalidité d'un indépendant, on examine le développement probable qu'aurait suivi l'entreprise de l'assuré si celui-ci n'était pas devenu invalide (RCC 1963 p. 427; CIIAI ch. 3029).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Toutefois, un tel revenu ne doit pas être directement comparé au revenu hypothétique sans invalidité (RCC 1981 p. 40; CIIAI ch. 3030). On fait abstraction du revenu qui ne proviendrait pas de l'activité propre de la personne handicapée (intérêt du capital engagé dans l'entreprise, part du revenu attribuable à la collaboration des proches [CIIAI ch. 3033], etc. ; RCC 1962 p. 481 ; CIIAI ch. 3031). L'office 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de la circulaire sur la procédure dans l'assurance-invalidité [ci-après : CPAI]). Un rapport d'enquête devra, le cas échéant, donner des renseignements suffisamment précis sur la situation de l'entreprise. Les données des déclarations fiscales ne permettent pas de se prononcer sur le revenu réel (arrêt du Tribunal fédéral 8C_9/2009 du 10 novembre 2009 consid. 3.4; ch. 3032). Par ailleurs, dans un arrêt 8C_157/2008 du 10 octobre 2008, consid. 3, le Tribunal fédéral a considéré que, conformément à la jurisprudence, pour l'évaluation du revenu de travailleurs indépendants, il convient d'ajouter les cotisations AVS/AI/APG effectivement payées par la personne assurée durant un exercice comptable au bénéfice d'exploitation. Il faut entendre, par revenu que l'assuré aurait pu obtenir s'il n'était pas invalide, au sens de l'art. 28 al. 2 LAI, le gain qu'il réaliserait effectivement s'il était en bonne santé.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157 consid. 5 c/bb ; RCC 1992 p. 96 consid. 4a et les arrêts cités). La jurisprudence admet cependant que des</w:t>
      </w:r>
    </w:p>
    <w:p>
      <w:r>
        <w:t>A/2776/2020 - 16/25 - circonstances, dont la preuve de l'existence est soumise à des exigences sévères, justifient de s'écarter du revenu effectif de l'assuré, lorsqu'il ressort de la situation dans son ensemble que ce dernier, sans invalidité, ne se contenterait pas d'une telle rémunération de manière durable (ATFA non publié I 777/01 du 14 octobre 2002, consid. 2.1 et les références). d/a.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2016 a été publiée le 26 octobre 2018 (étant précisé que le tableau T1_tirage_skill_level a été corrigé le 8 novembre 2018) ; et l’ESS 2014, le 15 avril 2016.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w:t>
      </w:r>
    </w:p>
    <w:p>
      <w:r>
        <w:t>A/2776/2020 - 17/25 - d/b.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S'agissant des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 S'agissant du critère des années de service, le Tribunal fédéral considère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 Dans un arrêt 9C_677/2015 du 25 janvier 2016, le Tribunal fédéral a jugé qu'un abattement de 15% se justifiait, vu la nature des limitations fonctionnelles présentées par l'intéressé (pas de mouvement en porte-à-faux, pas de charges de</w:t>
      </w:r>
    </w:p>
    <w:p>
      <w:r>
        <w:t>A/2776/2020 - 18/25 -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Une déduction maximale ne se justifie que lorsque plusieurs des éléments retenus par la jurisprudence se trouvent réunis chez un assuré (arrêt du Tribunal fédéral des assurances U 311/02 du 4 février 2003 consid. 4.3). d/c.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e.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w:t>
      </w:r>
    </w:p>
    <w:p>
      <w:r>
        <w:t>A/2776/2020 - 19/25 - appropriée le revenu effectivement réalisé ou en se référant aux données statistiques, soit au regard du revenu d'invalide en réduisant de manière appropriée la valeur statistique (ATF 134 V 322 consid. 4.1; arrêt du Tribunal fédéral 9C_692/2010, op. cit., consid. 3.4). f.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w:t>
      </w:r>
    </w:p>
    <w:p>
      <w:r>
        <w:t>A/2776/2020 - 20/25 - subjectives (arrêt du Tribunal fédéral 9C_1066/2009 du 22 septembre 2010 consid. 4.1 et la référence). g.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119 V 475 consid. 2b; ATF 114 V 313 consid. 3a; arrêt du Tribunal fédéral 8C_312/2016 du 13 mars 2017 consid. 5.4.1). Si l'on ne peut déterminer ou évaluer sûrement les deux revenus en cause, il faut, en s'inspirant de la méthode spécifique pour personnes sans activité lucrative (art. 28a al. 2 LAI en corrélation avec les art. 27 RAI [RS 831.201]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arrêt du Tribunal fédéral 8C_312/2016, op. cit., consid. 5.4.2). 13. a. En l’espèce, l’intimé a refusé au recourant une rente et des mesures d’ordre professionnel, se fondant sur le rapport de la Dresse F______, du SMR, laquelle a considéré que celui-ci avait une pleine capacité de travail dans une activité adaptée. Procédant à une comparaison des revenus sans et avec invalidité, l’intimé a déterminé que la perte de gain était de 0%, le salaire sans invalidité étant inférieur au salaire avec invalidité. b/a. Le recourant conteste tout d’abord l’appréciation médicale de son cas, soutenant qu’il présente de nombreuses atteintes à la santé induisant des limitations tant physiques que psychiques, et que ses médecins traitants évaluaient à 50% ou 80% sa capacité de travail dans une activité adaptée.</w:t>
      </w:r>
    </w:p>
    <w:p>
      <w:r>
        <w:t>A/2776/2020 - 21/25 - Il ressort du dossier que le recourant souffre actuellement d’asthme chronique obstructif allergique sévère, de polyallergie, de diabète, d’obésité, de crises de goutte, de SAOS, d’intolérance au gluten et au lactose et de TDAH. Le Dr D______, pneumologue traitant, a estimé que la capacité de travail de l’assuré était entière dans une activité adaptée et nulle dans l’activité habituelle, son asthme étant d’origine allergique. Quant au médecin psychiatre traitant, il a retenu que la capacité de travail résiduelle était de 80% dans une activité adaptée. À cet égard, il a déclaré, dans son rapport du</w:t>
      </w:r>
    </w:p>
    <w:p>
      <w:r>
        <w:rPr>
          <w:b/>
        </w:rPr>
        <w:t>E. 21</w:t>
      </w:r>
    </w:p>
    <w:p>
      <w:r>
        <w:t>janvier 2019, que le recourant souffrait d’un TDAH diagnostiqué tardivement, qui engendrait des troubles attentionnels sévères, une incapacité à maintenir sa concentration dans la durée, une dispersion de l’activité mentale, une impatience psychomotrice, une forte impulsivité, une tendance à l’irritabilité en période de stress et des problèmes de régulation émotionnelle. Le traitement du TDAH a été efficace et a permis au recourant d’effectuer des tâches qu’il était auparavant incapable d’accomplir, telles que des tâches administratives ou des tâches complexes sur support informatique, de même que de maîtriser son impulsivité. Cela étant, le médecin a précisé que les limitations liées au TDAH dans une activité adaptée étaient fonction du type d’activité exercée : ainsi, les tâches monotones et répétitives, ainsi que celles nécessitant une attention soutenue, ne sont pas compatibles. Une activité professionnelle impliquant des tâches variées et de la mobilité, ainsi qu’une large autonomie, serait adaptée. En sus de ses problèmes pneumologiques et psychiatriques, il ressort des pièces médicales que le recourant souffre de diabète, d’obésité, de crises de goutte et du SAOS. Au vu de toutes ses affections, la Dresse C______, médecin généraliste traitant du recourant, a retenu une capacité de travail de 50% dans une activité adaptée. Il sied cependant de préciser que dans ses rapports, la Dresse C______ a principalement insisté sur les troubles d’ordre pneumologiques du recourant et les effets que ceux-ci ont sur sa capacité de travail. Dans la mesure où le pneumologue traitant du recourant a retenu qu’il avait une capacité de travail entière dans une activité adaptée d’un point de vue pneumologique, l’appréciation de la capacité de travail résiduelle du recourant faite par la Dresse C______ paraît ainsi quelque peu pessimiste. Quant à la Dresse F______, du SMR, alors que celle-ci a estimé que l’activité habituelle d’agriculteur n’était plus exigible – précisant à cet égard que malgré l’amélioration de son asthme depuis l’instauration du traitement par Xolair, cette profession n’était plus envisageable en raison de l’origine allergique de l’asthme –, elle a retenu, sans autre explication, une capacité de travail de 100% dans une activité adaptée. Toutefois, au vu des nombreuses atteintes à la santé, notamment psychiatriques, dont souffre le recourant et de leur impact sur sa capacité de travail selon ses médecins traitants, l’on peine à comprendre les conclusions du médecin du SMR.</w:t>
      </w:r>
    </w:p>
    <w:p>
      <w:r>
        <w:t>A/2776/2020 - 22/25 - La Dresse F______ a également précisé qu’une activité adaptée devrait respecter les limitations psychiatriques, afin d’éviter une décompensation. Or, comme susmentionné, le Dr E______ a retenu une capacité de travail de maximum 80% d’un point de vue psychiatrique. De même, le médecin généraliste traitant du recourant a retenu une capacité de travail de 50% dans une activité adaptée. Même si cette dernière appréciation peut, comme susmentionné, sembler pessimiste, elle ne pouvait être ainsi ignorée par la Dresse F______, eu égard aux autres problèmes de santé dont souffre le recourant qui ne sont d’origine ni pneumologique, ni psychiatrique. Ces éléments permettent de susciter des doutes quant à la valeur probante du rapport de la Dresse F______, sur lequel l’intimé s’est fondé pour rendre sa décision. La jurisprudence retenant qu’il convient de poser des exigences strictes en matière de preuve et d’ordonner une expertise si des doutes, même faibles, subsistent quant à la fiabilité ou à la pertinence des constatations effectuées par le SMR, la chambre de céans n’est pas en état de trancher le fond du litige. Au vu des nombreuses atteintes à la santé dont souffre le recourant, l’intimé ne pouvait ainsi se fonder sur l’estimation la plus optimiste effectuée par le pneumologue traitant du recourant, en ignorant tant l’avis de son médecin psychiatre que celui de son médecin généraliste, pour retenir que le recourant aurait une capacité de travail de 100% dans une activité adaptée. Il se devait, conformément à la jurisprudence susmentionnée, d'appréhender la situation de manière globale, afin de tenir compte des effets réciproques des différentes atteintes à la santé du recourant sur sa capacité de travail. L'instruction étant lacunaire, l'étendue concrète de la capacité de travail du recourant dans une activité adaptée ne peut pas être déterminée sans recourir à une expertise médicale. Au vu des différentes affections dont souffre le recourant, seule une expertise pluridisciplinaire complète et satisfaisant aux réquisits jurisprudentiels topiques (ATF 125 V 351 consid. 3 ; arrêt du Tribunal fédéral des assurances I 731/02 du 25 juillet 2003 consid. 2), permettra de déterminer clairement l'éventuelle capacité de travail résiduelle du recourant dans une activité adaptée. Il conviendra donc, dans le cadre de l'approche pluridisciplinaire des atteintes à la santé du recourant, de tenir compte, outre de l'avis d'un pneumologue, de celui d’un psychiatre et d’un médecin généraliste. b/b. Partant, le recours sera partiellement admis, la décision du 21 juillet 2020 annulée et le dossier la cause renvoyée à l'intimé pour qu'il complète l'instruction, puis rende une nouvelle décision. Il incombera à l'intimé de mettre en œuvre une expertise médicale pluridisciplinaire indépendante pneumologique, psychiatrique et de médecine générale, conformément à l'art. 44 LPGA, permettant d'apprécier l'incidence des différents diagnostics retenus par les médecins sur la capacité de travail du recourant dans une</w:t>
      </w:r>
    </w:p>
    <w:p>
      <w:r>
        <w:t>A/2776/2020 - 23/25 - activité adaptée. Il conviendra en particulier que les experts, en motivant dûment leur appréciation, se prononcent sur les diagnostics et les limitations fonctionnelles dont souffre le recourant, qu'ils déterminent quel rôle joue chacun d'entre eux sur sa capacité de travail dans une activité adaptée et à quel taux celle-ci pourrait être évaluée. Un renvoi à l'administration se justifie, en l'occurrence, au vu de l'absence totale, dans le dossier, d'une évaluation pluridisciplinaire des diverses atteintes à la santé dont souffre le recourant. c/a. Il convient encore d’examiner les critiques soulevées par le recourant s’agissant de la méthode de comparaison des revenus employée par l’intimé et des montants retenus pour le salaire avec et sans invalidité. Le recourant soutient tout d’abord que l’intimé aurait dû lui appliquer la méthode extraordinaire d’évaluation de l’invalidité. Or, le recourant ayant une capacité de travail nulle dans son activité habituelle d’agriculteur – il ressort d’ailleurs du registre du commerce que son entreprise individuelle a été radiée à la fin de l’année 2018 –, il se justifie de prendre en considération la méthode ordinaire pour le calcul du taux d’invalidité. c/b. Reste à examiner les salaires avec et sans invalidité retenus par l’office intimé. S’agissant tout d’abord du salaire sans invalidité, c’est à juste titre que l’office intimé s’est fondé, pour l’activité d’enseignant du recourant, sur le salaire perçu à ce titre, et, pour son activité d’agriculteur, sur la moyenne de ses revenus ressortant de son compte individuel. Si ces derniers revenus apparaissent particulièrement bas, le recourant n’apporte aucune explication à cet égard, de sorte que l’on ne saurait notamment appliquer le principe du parallélisme des revenus en augmentant le revenu effectivement réalisé (voir notamment ATF 134 V 322 précité, consid. 4.1). Par ailleurs, si l’intimé avait pris en compte le travail de son épouse comme le suggère le recourant, cela aurait eu pour conséquence une diminution du salaire correspondant au travail du recourant et, partant, une diminution de son revenu sans invalidité. S’agissant du revenu avec invalidité, en l’absence de garantie que le recourant puisse exercer une activité de formateur en théologie (au vu notamment de son absence de diplôme reconnu en Suisse), l’intimé n’avait d’autre choix que de se fonder sur les statistiques salariales figurant dans l’ESS. Toutefois, il s’est basé sur les salaires correspondant aux activités simples et répétitives, alors que le Dr E______ a expressément indiqué qu’une telle activité ne serait aucunement adaptée au recourant en raison de son TDAH. Selon le Dr E______, une activité professionnelle impliquant des tâches variées et de la mobilité, ainsi qu’une large autonomie, serait adaptée pour le recourant. Ainsi, au vu du fait que nombre d’activités non qualifiées recouvrant les secteurs de la production et des services ne sont pas adaptées pour le recourant en raison de son TDAH, l’intimé aurait dû le faire bénéficier de l’orientation professionnelle avant de se référer, sans autre examen, aux salaires statistiques ressortant de l’ESS.</w:t>
      </w:r>
    </w:p>
    <w:p>
      <w:r>
        <w:t>A/2776/2020 - 24/25 - Enfin, au vu des nombreuses atteintes à la santé du recourant et de ses importantes limitations fonctionnelles, l’on peut s’étonner de ce que l’intimé n’ait retenu aucun taux d’abattement, ce d’autant plus qu’il a estimé que l’intéressé avait une entière capacité de travail dans une activité adaptée. Par conséquent, une fois la situation médicale élucidée par le biais de l’expertise devant être diligentée par l’intimé, il conviendra que celui-ci prenne en considération un éventuel abattement conformément aux critères jurisprudentiels susmentionnés, en raison de ses limitations fonctionnelles et éventuellement de son absence de formation. c/c. Au vu de ce qui précède, après l’instruction complémentaire portant sur la situation médicale du recourant, l’intimé devra prendre en considération ces éléments pour le calcul de l’éventuelle perte de gain du recourant. Le recours sera dès lors partiellement admis sur ce point également. 14. Le recourant, représenté par un conseil, obtenant partiellement gain de cause, une indemnité de CHF 2'000.- lui sera octroyée à titre de participation à ses frais et dépens (art. 61 let. g LPGA; art. 6 du règlement sur les frais, émoluments et indemnités en matière administrative du 30 juillet 1986 [RFPA - E 5 10.03] ; art. 89 H LPA). Étant donné que, depuis le 1er juillet 2006, la procédure n'est plus gratuite (art. 69 al. 1bis LAI), au vu du sort du recours, il y a lieu de condamner l'intimé au paiement d'un émolument de CHF 500.-.</w:t>
      </w:r>
    </w:p>
    <w:p>
      <w:r>
        <w:t>A/2776/2020 - 25/25 -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