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ATAS/798/2019 vom 29. August 2019</w:t>
      </w:r>
    </w:p>
    <w:p>
      <w:r>
        <w:t>GE Cour de justice, 2019-08-29, FR</w:t>
      </w:r>
    </w:p>
    <w:p>
      <w:r>
        <w:rPr>
          <w:b/>
        </w:rPr>
        <w:t xml:space="preserve">Quelle: </w:t>
      </w:r>
      <w:r>
        <w:t>https://mcp.opencaselaw.ch/entscheid/ge_gerichte_ATAS_798_2019</w:t>
      </w:r>
    </w:p>
    <w:p>
      <w:r>
        <w:t>FR: GE_GERICHTE ATAS/798/2019 du 29 août 2019</w:t>
      </w:r>
    </w:p>
    <w:p>
      <w:r>
        <w:t>IT: GE_GERICHTE ATAS/798/2019 del 29 agosto 2019</w:t>
      </w:r>
    </w:p>
    <w:p>
      <w:pPr>
        <w:pStyle w:val="Heading2"/>
      </w:pPr>
      <w:r>
        <w:t>Erwägungen</w:t>
      </w:r>
    </w:p>
    <w:p>
      <w:r>
        <w:rPr>
          <w:b/>
        </w:rPr>
        <w:t>E. 1</w:t>
      </w:r>
    </w:p>
    <w:p>
      <w:r>
        <w:t>Les questions de la compétence de la Cour de céans et de la recevabilité du recours ayant d’ores et déjà été examinées le 14 décembre 2017, il n’y a pas lieu d’y revenir ici.</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A/4561/2017 - 9/12 -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litige porte sur le droit du recourant à des prestations de l’assurance-invalidité au-delà du 31 août 2016.</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a. Selon la jurisprudence, le bien-fondé d'une décision d'octroi, à titre rétroactif, d'une rente limitée dans le temps doit être examiné à la lumière des conditions de révision du droit à la rente (ATF 125 V 413 consid. 2d p. 418 et les références).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w:t>
      </w:r>
    </w:p>
    <w:p>
      <w:r>
        <w:t>A/4561/2017 - 10/12 -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l’espèce, l’intimé a considéré, sur la base des différents rapports médicaux versés au dossier, que l’assuré avait recouvré une pleine capacité de travail dans une activité adaptée à compter de juin 2016. Le recourant lui reproche d’avoir ignoré les conclusions des docteurs B______, E_____, G_____ et C______ dont il allègue que, tous n’ont évalué sa capacité résiduelle de travail qu’à 50%. Pourtant, le Dr B______ a bel et bien conclu à une pleine capacité de travail dans ses rapports des 22 avril et 8 mai 2015 déjà. Il a expliqué qu’en octobre 2015, la situation s’était péjorée (élévation antérieure limitée à 90°), précisant qu’alors, les tâches exigibles étaient celles qui n’engendraient pas d’élévation du bras et permettaient à l’assuré de travailler coudes au corps. En effet, tout mouvement répétitif des bras, tout port de charges lourdes ou activités bras au-dessus du niveau</w:t>
      </w:r>
    </w:p>
    <w:p>
      <w:r>
        <w:t>A/4561/2017 - 11/12 - de la tête étaient impossibles. Néanmoins, le médecin a estimé que la capacité de travail de son patient dans une activité adaptée, initialement de 50%, pourrait être réévaluée dans le temps afin « de tenter d’obtenir une pleine capacité ». Certes, le Dr C______, en mai 2016, a estimé la capacité de son patient à exercer une activité adaptée à 50% seulement, mais sans véritablement motiver sa position. Le Dr G_____, interrogé par la Cour de céans, a en revanche convenu qu’une activité adaptée aurait été exigible, qui aurait consisté en une profession s’exerçant en position assise ou debout avec une dilatation minimale des épaules (soit une manutention de petites pièces). Il ne s’est cependant pas clairement déterminé sur le taux d’occupation exigible dans de telles circonstances. Quant au Dr I_____, il a indiqué n’avoir reçu l’assuré qu’en janvier 2018, soit postérieurement à la décision litigieuse. Il a émis l’avis qu’alors, seule une activité adaptée - c’est-à-dire sans port de charge et envisageable avec une limitation des mouvements de l’épaule - pouvait être envisagée, sous réserve des douleurs (responsable d’accueil, téléphoniste, gardien de musée, par exemple), et sans se prononcer sur le taux d’occupation exigible dans de telles conditions. La Cour de céans constate à l’étude du dossier de pièces médicales, qu’en l’état, il n’existe aucun rapport se prononçant clairement et de manière convaincante sur la capacité de travail de l’assuré à compter de juin 2016. Les documents apparaissent peu motivés, contradictoires et peu convaincants. Il en va de même de la prise de position du SMR de janvier 2017, qui, tout en relevant que la réduction de la capacité de travail de 50% par les médecins n’était pas motivée, n’a pas motivé plus avant sa propre position, concluant à une pleine capacité dans une activité adaptée. En particulier, aucune expertise approfondie n’a été mise sur pied, qui aurait permis de répondre de manière un tant soit peu objectivée à cette question fondamentale. Dès lors, la Cour estime ne pas être en possession de tous les éléments utiles à une prise de décision motivée. Le recours est partiellement admis et la cause renvoyée à l’intimé à charge pour ce dernier de mettre sur pied une expertise en bonne et due forme permettant de se déterminer sur l’évolution de l’état de santé de l’assuré depuis 2016 et les conséquences en termes de capacité de travail dans une activité adaptée.</w:t>
      </w:r>
    </w:p>
    <w:p>
      <w:r>
        <w:rPr>
          <w:b/>
        </w:rPr>
        <w:t>E. 9</w:t>
      </w:r>
    </w:p>
    <w:p>
      <w:r>
        <w:t>Le recourant a droit à des dépens, qui seront fixés à CHF 3’000.- (art. 61 let. g LPGA).</w:t>
      </w:r>
    </w:p>
    <w:p>
      <w:r>
        <w:rPr>
          <w:b/>
        </w:rPr>
        <w:t>E. 10</w:t>
      </w:r>
    </w:p>
    <w:p>
      <w:r>
        <w:t>Etant donné que depuis le 1er juillet 2006, la procédure n'est plus gratuite (art. 69 al. 1bis LAI), il y a lieu de condamner l’intimé au paiement d'un émolument de CHF 200.-.</w:t>
      </w:r>
    </w:p>
    <w:p>
      <w:r>
        <w:t>A/4561/2017 - 12/12 -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