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ATAS/797/2022 vom 1. September 2022</w:t>
      </w:r>
    </w:p>
    <w:p>
      <w:r>
        <w:t>GE Cour de justice, 2022-09-01, FR</w:t>
      </w:r>
    </w:p>
    <w:p>
      <w:r>
        <w:rPr>
          <w:b/>
        </w:rPr>
        <w:t xml:space="preserve">Quelle: </w:t>
      </w:r>
      <w:r>
        <w:t>https://mcp.opencaselaw.ch/entscheid/ge_gerichte_ATAS_797_2022</w:t>
      </w:r>
    </w:p>
    <w:p>
      <w:r>
        <w:t>FR: GE_GERICHTE ATAS/797/2022 du 1 septembre 2022</w:t>
      </w:r>
    </w:p>
    <w:p>
      <w:r>
        <w:t>IT: GE_GERICHTE ATAS/797/2022 del 1 settembre 2022</w:t>
      </w:r>
    </w:p>
    <w:p>
      <w:pPr>
        <w:pStyle w:val="Heading2"/>
      </w:pPr>
      <w:r>
        <w:t>Erwägungen</w:t>
      </w:r>
    </w:p>
    <w:p>
      <w:r>
        <w:rPr>
          <w:b/>
        </w:rPr>
        <w:t>E. 1</w:t>
      </w:r>
    </w:p>
    <w:p>
      <w:r>
        <w:t>Au 1er janvier 2017 est entrée en vigueur la modification des art. 122ss du Code civil suisse du 10 décembre 1907 (CC - RS 210) concernant le partage des prestations de sortie des ex-époux, ainsi que des art. 280ss du Code de procédure civile du 19 décembre 2008 (CPC - RS 272) et 22ss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t>A/4247/2021 4/5</w:t>
      </w:r>
    </w:p>
    <w:p>
      <w:r>
        <w:rPr>
          <w:b/>
        </w:rPr>
        <w:t>E. 3</w:t>
      </w:r>
    </w:p>
    <w:p>
      <w:r>
        <w:t>Selon l'art. 22 LFLP (dans sa teneur en vigueur depuis le 1er janvier 2017),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4</w:t>
      </w:r>
    </w:p>
    <w:p>
      <w:r>
        <w:t>En l’espèce, le juge de première instance a ordonné le partage par moitié des prestations de sortie acquises durant le mariage par les demandeurs. Les dates pertinentes sont, d’une part, celle du mariage, le 9 septembre 1990, d’autre part, le 22 juin 2009, date à laquelle la demande en divorce a été déposée.</w:t>
      </w:r>
    </w:p>
    <w:p>
      <w:r>
        <w:rPr>
          <w:b/>
        </w:rPr>
        <w:t>E. 5</w:t>
      </w:r>
    </w:p>
    <w:p>
      <w:r>
        <w:t>Selon les investigations menées par la Cour de céans, la demanderesse n’a accumulé aucun avoir de prévoyance. Quant au demandeur, l’avoir qu’il a accumulé lui a été remis en espèces à son départ de Suisse, de sorte que, depuis 1999, il n’y a plus aucun avoir à partager. Le fait qu'il bénéficie d'une rente de l'assurance-vieillesse et survivants servie par la Centrale de compensation ne prouve en rien l'existence d'un avoir de prévoyance professionnelle encore en Suisse. Faute d'avoirs en Suisse, le partage est impossible.</w:t>
      </w:r>
    </w:p>
    <w:p>
      <w:r>
        <w:rPr>
          <w:b/>
        </w:rPr>
        <w:t>E. 6</w:t>
      </w:r>
    </w:p>
    <w:p>
      <w:r>
        <w:t>Quant à la conclusion de la demanderesse visant l'octroi d'une indemnité équitable, elle est irrecevable, la Cour de céans n'étant en aucun cas compétente pour statuer en la matière. Il est loisible à la demanderesse de saisir le juge civil si elle l'estime nécessaire.</w:t>
      </w:r>
    </w:p>
    <w:p>
      <w:r>
        <w:rPr>
          <w:b/>
        </w:rPr>
        <w:t>E. 7</w:t>
      </w:r>
    </w:p>
    <w:p>
      <w:r>
        <w:t>Aucun émolument ne sera perçu, la procédure étant gratuite (art. 73 al. 2 LPP et 89H al. 1 de la loi sur la procédure administrative du 12 septembre 1985 (LPA-GE - E 5 10). ***</w:t>
      </w:r>
    </w:p>
    <w:p>
      <w:r>
        <w:t>A/4247/2021 5/5</w:t>
      </w:r>
    </w:p>
    <w:p>
      <w:r>
        <w:t>PAR CES MOTIFS, LA CHAMBRE DES ASSURANCES SOCIALES :</w:t>
      </w:r>
    </w:p>
    <w:p>
      <w:r>
        <w:t>1. Constate que le partage des avoirs de prévoyance ordonné par le juge du divorce est impossible, faute d’avoirs.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