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ATAS/797/2018 vom 13. September 2018</w:t>
      </w:r>
    </w:p>
    <w:p>
      <w:r>
        <w:t>GE Cour de justice, 2018-09-13, FR</w:t>
      </w:r>
    </w:p>
    <w:p>
      <w:r>
        <w:rPr>
          <w:b/>
        </w:rPr>
        <w:t xml:space="preserve">Quelle: </w:t>
      </w:r>
      <w:r>
        <w:t>https://mcp.opencaselaw.ch/entscheid/ge_gerichte_ATAS_797_2018</w:t>
      </w:r>
    </w:p>
    <w:p>
      <w:r>
        <w:t>FR: GE_GERICHTE ATAS/797/2018 du 13 septembre 2018</w:t>
      </w:r>
    </w:p>
    <w:p>
      <w:r>
        <w:t>IT: GE_GERICHTE ATAS/797/2018 del 13 settembre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w:t>
      </w:r>
    </w:p>
    <w:p>
      <w:r>
        <w:rPr>
          <w:b/>
        </w:rPr>
        <w:t>E. 3</w:t>
      </w:r>
    </w:p>
    <w:p>
      <w:r>
        <w:t>Interjeté dans les forme et délai prévus par la loi, le recours est recevable (art. 56 à 60 LPGA).</w:t>
      </w:r>
    </w:p>
    <w:p>
      <w:r>
        <w:rPr>
          <w:b/>
        </w:rPr>
        <w:t>E. 4</w:t>
      </w:r>
    </w:p>
    <w:p>
      <w:r>
        <w:t>Le litige porte uniquement sur le bien-fondé de la décision par laquelle l'intimé a déclaré la recourante inapte au placement pendant sept jours durant la période du 15 septembre au 8 décembre 2017.</w:t>
      </w:r>
    </w:p>
    <w:p>
      <w:r>
        <w:rPr>
          <w:b/>
        </w:rPr>
        <w:t>E. 5</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Ainsi, l’assuré n’a droit à l’indemnité de chômage que s’il est notamment apte au placement.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c) L'aptitude au placement n'est pas sujette à fractionnement, en ce sens qu'il existerait des situations intermédiaires entre l'aptitude et l'inaptitude au placement (par exemple une inaptitude "partielle") auxquelles la loi attacherait des conséquences particulières. Lorsqu'un assuré est disposé à n'accepter qu'un travail à</w:t>
      </w:r>
    </w:p>
    <w:p>
      <w:r>
        <w:t>A/1056/2018 - 5/7 - temps partiel - jusqu'à concurrence au moins de 20% d'un horaire de travail complet (cf. art. 5 OACI [RS 837.02]), il convient en effet non pas d'admettre une aptitude au placement partielle pour une perte de travail de 100%, mais à l'inverse, d'admettre purement et simplement l'aptitude au placement de l'intéressé dans le cadre d'une perte de travail partielle (ATF 136 V 95 consid. 5.1 p. 97 ; 126 V 124 consid. 2 p. 126 ; 125 V 51 consid. 6a p. 58). C'est sous l'angle de la perte de travail à prendre en considération qu'il faut, le cas échéant, tenir compte du fait qu'un assuré au chômage ne peut ou ne veut pas travailler à plein temps (ATF 126 V 124 consid. 2 p.126 précité). d) À noter que par rapport à un assuré qui suivrait des cours dans le cadre de l'assurance-chômage,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À cet égard, de simples allégations de l'assuré ne suffisent pas (ATF 122 V 265, consid. 4 : ATF non publié 8C_466/2010 du 8 février 2011, consid. 3). e) Il sied encore de préciser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Il n’existe donc pas, en droit des assurances sociales, un principe selon lequel l’administration ou le juge devrait statuer, dans le doute, en faveur de l’assuré (ATF 126 V 322 consid. 5a).</w:t>
      </w:r>
    </w:p>
    <w:p>
      <w:r>
        <w:rPr>
          <w:b/>
        </w:rPr>
        <w:t>E. 6</w:t>
      </w:r>
    </w:p>
    <w:p>
      <w:r>
        <w:t>En l'espèce, les capacité et volonté de travailler de la recourante ne font aucun doute et ne sont d’ailleurs pas contestées. Durant la période considérée, du 15 septembre au 8 décembre 2017, soit presque trois mois, l’assurée n’a été indisponible que sept demi-journées, soit l’équivalent d’à peine trois jours et demi sur soixante et un jours ouvrables. Ses allégations selon lesquelles elle aurait été prête à renoncer à cette formation si un employeur potentiel s’était présenté paraissent d’autant plus vraisemblables que la formation en question a été financée en partie par son dernier employeur. Au vu de l’enjeu (trois jours et demi de formation ou un nouvel emploi), on peut accorder crédit aux propos de l’intéressée. Enfin, le fait que la formation en question s’adresse prioritairement à des personnes en cours d’emploi est un argument supplémentaire pour admettre qu’elle ne constituait pas un obstacle à l’employabilité de la recourante.</w:t>
      </w:r>
    </w:p>
    <w:p>
      <w:r>
        <w:t>A/1056/2018 - 6/7 - Eu égard aux considérations qui précèdent, le recours est admis.</w:t>
      </w:r>
    </w:p>
    <w:p>
      <w:r>
        <w:t>A/1056/2018 - 7/7 -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