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ATAS/797/2016 vom 4. Oktober 2016</w:t>
      </w:r>
    </w:p>
    <w:p>
      <w:r>
        <w:t>GE Cour de justice, 2016-10-04, FR</w:t>
      </w:r>
    </w:p>
    <w:p>
      <w:r>
        <w:rPr>
          <w:b/>
        </w:rPr>
        <w:t xml:space="preserve">Quelle: </w:t>
      </w:r>
      <w:r>
        <w:t>https://mcp.opencaselaw.ch/entscheid/ge_gerichte_ATAS_797_2016</w:t>
      </w:r>
    </w:p>
    <w:p>
      <w:r>
        <w:t>FR: GE_GERICHTE ATAS/797/2016 du 4 octobre 2016</w:t>
      </w:r>
    </w:p>
    <w:p>
      <w:r>
        <w:t>IT: GE_GERICHTE ATAS/797/2016 del 4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7 du Code de procédure civile suisse du 19 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 RS 221.229.1). La compétence de la chambre de céans à raison de la matière pour juger du cas d’espèce est ainsi établie.</w:t>
      </w:r>
    </w:p>
    <w:p>
      <w:r>
        <w:rPr>
          <w:b/>
        </w:rPr>
        <w:t>E. 2</w:t>
      </w:r>
    </w:p>
    <w:p>
      <w:r>
        <w:t>Le délai de recours est de 30 jours. Interjeté dans la forme et le délai prévus par la loi, le recours est recevable (art. 56 à 61 LPGA).</w:t>
      </w:r>
    </w:p>
    <w:p>
      <w:r>
        <w:rPr>
          <w:b/>
        </w:rPr>
        <w:t>E. 3</w:t>
      </w:r>
    </w:p>
    <w:p>
      <w:r>
        <w:t>L’intéressé a déclaré retirer son recours le 20 septembre 2016, il convient d'en prendre acte et de rayer la cause du rôle.</w:t>
      </w:r>
    </w:p>
    <w:p>
      <w:r>
        <w:t>A/3121/2016 - 4/4 -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