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ATAS/797/2014 vom 27. Juni 2014</w:t>
      </w:r>
    </w:p>
    <w:p>
      <w:r>
        <w:t>GE Cour de justice, 2014-06-27, FR</w:t>
      </w:r>
    </w:p>
    <w:p>
      <w:r>
        <w:rPr>
          <w:b/>
        </w:rPr>
        <w:t xml:space="preserve">Quelle: </w:t>
      </w:r>
      <w:r>
        <w:t>https://mcp.opencaselaw.ch/entscheid/ge_gerichte_ATAS_797_2014</w:t>
      </w:r>
    </w:p>
    <w:p>
      <w:r>
        <w:t>FR: GE_GERICHTE ATAS/797/2014 du 27 juin 2014</w:t>
      </w:r>
    </w:p>
    <w:p>
      <w:r>
        <w:t>IT: GE_GERICHTE ATAS/797/2014 del 27 giugno 2014</w:t>
      </w:r>
    </w:p>
    <w:p>
      <w:pPr>
        <w:pStyle w:val="Heading2"/>
      </w:pPr>
      <w:r>
        <w:t>Erwägungen</w:t>
      </w:r>
    </w:p>
    <w:p>
      <w:r>
        <w:rPr>
          <w:b/>
        </w:rPr>
        <w:t>E. 1</w:t>
      </w:r>
    </w:p>
    <w:p>
      <w:r>
        <w:t>Conformément à l'art. 7 du Code de procédure civile suisse du 19 décembre 2008 (CPC ; RS 292) et à l'art. 134 al. 1 let. c de la loi sur l'organisation judiciaire, du 26 septembre 2010 (LOJ ;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w:t>
      </w:r>
    </w:p>
    <w:p>
      <w:r>
        <w:rPr>
          <w:b/>
        </w:rPr>
        <w:t>E. 2</w:t>
      </w:r>
    </w:p>
    <w:p>
      <w:r>
        <w:t>L'assurance en cause est une assurance perte de gain en cas de maladie. L'indemnité journalière en cas de perte de gain est prévue dans le catalogue de l'assurance maladie facultative de sorte qu'il existe un lien matériel immédiat entre l'assurance en cause et l'assurance-maladie sociale (JdT 1999 III 106, consid. f), partant il s’agit d’une assurance complémentaire à l’assurance-maladie.</w:t>
      </w:r>
    </w:p>
    <w:p>
      <w:r>
        <w:rPr>
          <w:b/>
        </w:rPr>
        <w:t>E. 3</w:t>
      </w:r>
    </w:p>
    <w:p>
      <w:r>
        <w:t>Selon l’art. F2 des conditions générales d’assurance (édition juillet 2010) d'assurance collective maladie d'indemnités journalières perte de gain (ci-après : CGA), le contrat est régi par la LCA.</w:t>
      </w:r>
    </w:p>
    <w:p>
      <w:r>
        <w:rPr>
          <w:b/>
        </w:rPr>
        <w:t>E. 4</w:t>
      </w:r>
    </w:p>
    <w:p>
      <w:r>
        <w:t>La compétence de la cour de céans pour juger du cas d’espèce est ainsi établie.</w:t>
      </w:r>
    </w:p>
    <w:p>
      <w:r>
        <w:t>A/3983/2013 - 10/19 -</w:t>
      </w:r>
    </w:p>
    <w:p>
      <w:r>
        <w:rPr>
          <w:b/>
        </w:rPr>
        <w:t>E. 5</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6</w:t>
      </w:r>
    </w:p>
    <w:p>
      <w:r>
        <w:t>L'art. 46a LCA prescrit que le for se définit selon la loi du 24 mars 2000 sur les fors (LFors) qui a été abrogée au 1er janvier 2011 par l’entrée en vigueur du CPC. L'art. 17 CPC consacre la possibilité d'une élection de for écrite. En vertu de l'art. F1 CGA, l’assuré peut notamment choisir comme for judiciaire le lieu de son domicile, celui de son travail en Suisse ou Winterthur.</w:t>
      </w:r>
    </w:p>
    <w:p>
      <w:r>
        <w:rPr>
          <w:b/>
        </w:rPr>
        <w:t>E. 7</w:t>
      </w:r>
    </w:p>
    <w:p>
      <w:r>
        <w:t>En l'espèce, l’assuré est employé à Genève de sorte que la Cour de céans est également compétente à raison du lieu pour connaître de la présente demande.</w:t>
      </w:r>
    </w:p>
    <w:p>
      <w:r>
        <w:rPr>
          <w:b/>
        </w:rPr>
        <w:t>E. 8</w:t>
      </w:r>
    </w:p>
    <w:p>
      <w:r>
        <w:t>Le litige concerne le droit du demandeur à une indemnité journalière du 1er octobre 2012 au 30 novembre 2012, sous imputation des indemnités versées par l’assurance chômage.</w:t>
      </w:r>
    </w:p>
    <w:p>
      <w:r>
        <w:rPr>
          <w:b/>
        </w:rPr>
        <w:t>E. 9</w:t>
      </w:r>
    </w:p>
    <w:p>
      <w:r>
        <w:t>L’employeur en tant que preneur d'assurance et la défenderesse en qualité d'assureur ont conclu un contrat collectif d'indemnité journalière selon la LCA. Par cette convention, le demandeur était couvert contre le risque de perte de gain due à la maladie. Il s'agit d'une assurance au profit de tiers (cf. art. 18 al. 3 LCA), qui confère un droit propre au bénéficiaire (i.e. le travailleur) contre l'assureur en vertu de l'art. 87 LCA (ATF non publié 4A_179/2007 du 12 septembre 2007, consid. 4.2).</w:t>
      </w:r>
    </w:p>
    <w:p>
      <w:r>
        <w:rPr>
          <w:b/>
        </w:rPr>
        <w:t>E. 10</w:t>
      </w:r>
    </w:p>
    <w:p>
      <w:r>
        <w:t>Par conséquent, le demandeur possède la légitimation active pour agir contre la défenderesse (cf. ATF non publié 5C.42/2005 du 21 avril 2005, consid. 3).</w:t>
      </w:r>
    </w:p>
    <w:p>
      <w:r>
        <w:rPr>
          <w:b/>
        </w:rPr>
        <w:t>E. 11</w:t>
      </w:r>
    </w:p>
    <w:p>
      <w:r>
        <w:t>Depuis l'entrée en vigueur de la LAMal, le 1er janvier 1996, les assurances complémentaires à l'assurance-maladie sociale au sens de cette loi sont soumises au droit privé, plus particulièrement à la LCA (art. 12 al. 3 LAMal; ATF 124 III 44 consid. 1a/aa, 229 consid. 2b) et au droit des obligations pour tout ce qui n'est pas réglé par la LCA (art. 100 al. 1 LCA). Le droit aux prestations d'assurances se détermine donc sur la base des dispositions contractuelles liant l'assuré et l'assureur, en particulier des conditions générales ou spéciales d'assurance (ATF non publié 5C.263/2000 du 6 mars 2001, consid. 4a).</w:t>
      </w:r>
    </w:p>
    <w:p>
      <w:r>
        <w:rPr>
          <w:b/>
        </w:rPr>
        <w:t>E. 12</w:t>
      </w:r>
    </w:p>
    <w:p>
      <w:r>
        <w:t>La procédure simplifiée s'applique aux litiges portant sur des assurances complémentaires à l’assurance-maladie sociale au sens de la LAMal (art. 243 al. 2 let. f CPC) et la Cour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w:t>
      </w:r>
    </w:p>
    <w:p>
      <w:r>
        <w:t>A/3983/2013 - 11/19 -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13</w:t>
      </w:r>
    </w:p>
    <w:p>
      <w:r>
        <w:t>La maxime inquisitoire sociale ne modifie pas la répartition du fardeau de la preuve (ATF non publié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non publié 4A_491/2008 du 4 février 2009,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14</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Elle s'applique également dans le domaine des contrats d'assurance (ATF 130 III 321 consid. 3.1).</w:t>
      </w:r>
    </w:p>
    <w:p>
      <w:r>
        <w:rPr>
          <w:b/>
        </w:rPr>
        <w:t>E. 15</w:t>
      </w:r>
    </w:p>
    <w:p>
      <w:r>
        <w:t>Il ressort de la police d’assurance n° 1 ______ que l’employeur du demandeur, en tant que preneur d’assurance, et la défenderesse ont conclu un contrat d’assurance. Conformément à ladite police, le demandeur, en sa qualité d’employé, a droit au versement d’une indemnité journalière s’élevant à 90% de son salaire du 31ème au 730ème jour de maladie, soit après l’écoulement d’un délai d’attente de 30 jours, dans une période de 900 jours consécutifs. Le salaire assuré s’élevait à CHF 325'072, soit une indemnité journalière de CHF 890,60, dont le 90% représente CHF 801,54 par jour, soit CHF 24'046,20 sur 30 jours et CHF 24'847,74 sur 31 jours.</w:t>
      </w:r>
    </w:p>
    <w:p>
      <w:r>
        <w:rPr>
          <w:b/>
        </w:rPr>
        <w:t>E. 16</w:t>
      </w:r>
    </w:p>
    <w:p>
      <w:r>
        <w:t>En premier lieu, il convient de déterminer si l’incapacité de gain admise par la défenderesse jusqu’au 30 septembre 2012 était encore en cours du 1er octobre 2012</w:t>
      </w:r>
    </w:p>
    <w:p>
      <w:r>
        <w:t>A/3983/2013 - 12/19 - au 30 novembre 2012. M. A______ conteste la valeur probante de l’expertise du Dr G______, contrairement à la défenderesse qui considère sa force probante comme pleine.</w:t>
      </w:r>
    </w:p>
    <w:p>
      <w:r>
        <w:rPr>
          <w:b/>
        </w:rPr>
        <w:t>E. 17</w:t>
      </w:r>
    </w:p>
    <w:p>
      <w:r>
        <w:t>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4A_253/2007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le juge prendra en considération le fait que celui-ci peut être enclin, en cas de doute, à prendre parti pour son patient en raison de la relation de confiance qu'ils ont nouée (ATF 125 V 351 consid. 3; ATF non publié 4A_412/2010 du 27 septembre 2010, consid. 3.1).</w:t>
      </w:r>
    </w:p>
    <w:p>
      <w:r>
        <w:rPr>
          <w:b/>
        </w:rPr>
        <w:t>E. 18</w:t>
      </w:r>
    </w:p>
    <w:p>
      <w:r>
        <w:t>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(ATA/143/1999).</w:t>
      </w:r>
    </w:p>
    <w:p>
      <w:r>
        <w:rPr>
          <w:b/>
        </w:rPr>
        <w:t>E. 19</w:t>
      </w:r>
    </w:p>
    <w:p>
      <w:r>
        <w:t>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ATF 128 I 81 consid. 2; ATF 122 V 157 consid. 1c). De tels motifs déterminants existent notamment lorsque l'expertise contient des contradictions, lorsqu'une détermination ultérieure de son auteur vient la démentir sur des points importants, lorsqu'elle contient des constatations factuelles erronées ou des lacunes,</w:t>
      </w:r>
    </w:p>
    <w:p>
      <w:r>
        <w:t>A/3983/2013 - 13/19 - voire lorsqu'elle se fonde sur des pièces dont le juge apprécie autrement la valeur probante ou la portée (ATF 110 Ib 52 consid. 2; ATF 101 Ib 405 consid. 3b/aa; ATF 101 IV 129 consid. 3a in fine; ATF non publié 4D_8/2008 du 31 mars 2008, consid. 3.2.1).</w:t>
      </w:r>
    </w:p>
    <w:p>
      <w:r>
        <w:rPr>
          <w:b/>
        </w:rPr>
        <w:t>E. 20</w:t>
      </w:r>
    </w:p>
    <w:p>
      <w:r>
        <w:t>En l’espèce, il convient d’analyser la valeur probante du rapport du Dr G______ sur laquelle se fonde la défenderesse, étant précisé qu’il ne s’agit pas d’une expertise, l’assuré n’ayant pas pu poser de questions ni n’ayant pu choisir le praticien.</w:t>
      </w:r>
    </w:p>
    <w:p>
      <w:r>
        <w:rPr>
          <w:b/>
        </w:rPr>
        <w:t>E. 21</w:t>
      </w:r>
    </w:p>
    <w:p>
      <w:r>
        <w:t>Le Dr G______ a rendu deux documents, soit un premier rapport, du 5 septembre 2012 à l’attention du médecin-conseil de l’assurance, puis le rapport du 20 septembre 2012.</w:t>
      </w:r>
    </w:p>
    <w:p>
      <w:r>
        <w:rPr>
          <w:b/>
        </w:rPr>
        <w:t>E. 22</w:t>
      </w:r>
    </w:p>
    <w:p>
      <w:r>
        <w:t>Le rapport du 5 septembre 2012 à l’attention du médecin d’AXA comprend des erreurs. Ainsi le traitement médicamenteux est incomplet. Seul le Floxifral 100 mg/jour est mentionné. Le Xanax 1,5 mg/ jour n’est pas cité. Les citations faites par le Dr G______ du rapport du Dr F______ comprennent des erreurs. Ainsi, notamment, selon le rapport du Dr G______ (page 3 de l’expertise du 5 septembre 2012 et 3 de celle du 20 septembre 2012) le Dr F______ aurait indiqué que le patient aurait « montré une labilité émotionnelle ». Or, le Dr F______ a relaté « Je n’ai pas constaté de labilité émotionnelle » (p. 3 du rapport du</w:t>
      </w:r>
    </w:p>
    <w:p>
      <w:r>
        <w:rPr>
          <w:b/>
        </w:rPr>
        <w:t>E. 26</w:t>
      </w:r>
    </w:p>
    <w:p>
      <w:r>
        <w:t>De surcroît, cette seconde conclusion, mise en lien avec le rapport du Dr F______ revient à dire que les deux médecins sont fondamentalement opposés dans leurs conclusions puisque selon le Dr G______ l’assuré était apte dès le 25 avril 2012, alors que précisément le Dr F______ a conclu, le 26 avril 2012, que l’assuré était totalement incapable de travailler dans sa profession actuelle à 100%. Les conclusions que chaque praticien tire de la « rémission partielle » sont totalement contradictoires. Le Dr G______ en déduit que le patient n’a pas de capacité de travail alors que le Dr F______ en conclut que « lorsqu’une symptomatologie anxio-dépressive est en rémission partielle, autrement dit qu’elle n’est quasiment plus présente, il aurait alors été logique de considérer que sa capacité de travail était alors entière le jour de son entretien soit le 25 avril 2012 ».</w:t>
      </w:r>
    </w:p>
    <w:p>
      <w:r>
        <w:rPr>
          <w:b/>
        </w:rPr>
        <w:t>E. 27</w:t>
      </w:r>
    </w:p>
    <w:p>
      <w:r>
        <w:t>La plainte de la fatigabilité n’a pas été suffisamment investiguée. Les symptômes de fatigabilité de l’assuré avaient pu être vérifiés par le Dr F______ qui avait constaté qu’après trois quarts d’heure d’entretien, M. A______ apparaissait fatigué. Le Dr G______ a simplement écarté toute fatigabilité, n’ayant rien constaté. Outre que l’entretien n’a probablement duré que 45 minutes, il n’est pas précisé combien de temps ont duré les tests psychométriques. Le rapport manque de précision sur cet aspect médical ce qui implique que la conclusion du Dr G______ n’est pas convaincante. Les autres plaintes de l’assuré ne sont pas suffisamment discutées, notamment celles relatives aux capacités intellectuelles que l’assuré estime altérées ainsi que celles de ses « difficultés à être à 100% », l’expert se limitant à indiquer qu’il ressort des tests psychométriques une tendance à une certaine amplification et une perception peut-être exagérée de ses difficultés.</w:t>
      </w:r>
    </w:p>
    <w:p>
      <w:r>
        <w:rPr>
          <w:b/>
        </w:rPr>
        <w:t>E. 28</w:t>
      </w:r>
    </w:p>
    <w:p>
      <w:r>
        <w:t>Il n’est pas possible de savoir si les autres griefs du recourant sur le déroulement de l’entretien sont fondés ou non, notamment en ce qui concerne le fait que des sujets non pertinents ont été abordés (situation en Belgique ou intérêt pour l’art), l’interruption brutale et inattendue de l’entretien par le praticien, la mention dans le rapport d’expertise de propos mis dans la bouche de l’expertisé que celui-ci n’aurait jamais tenu (« peu intelligent, idiot » en parlant de son collègue) ou la mention du praticien selon laquelle « vu que le patient n’était pas suicidaire, il n’avait aucune raison de rester malade ». Des considérations sans pertinence, ou en tous les cas sans que leur pertinence ne soit expliquée, sont toutefois faites par le Dr G______ dans son rapport à l’instar du fait que le patient n’aurait qu’un pied-à-terre à Genève.</w:t>
      </w:r>
    </w:p>
    <w:p>
      <w:r>
        <w:rPr>
          <w:b/>
        </w:rPr>
        <w:t>E. 29</w:t>
      </w:r>
    </w:p>
    <w:p>
      <w:r>
        <w:t>L’augmentation du traitement médical préconisée par le Dr G______ a péjoré l’état de santé du patient. Dans ces conditions il est difficile de retenir que, même si celui-ci pouvait, de l’avis du Dr G______, travailler avant la consultation en son</w:t>
      </w:r>
    </w:p>
    <w:p>
      <w:r>
        <w:t>A/3983/2013 - 16/19 - cabinet, il le soit forcément resté si son état de santé s’était péjoré. Cette péjoration n’a pas été contestée par l’intimée. Elle est attestée par le Dr D______.</w:t>
      </w:r>
    </w:p>
    <w:p>
      <w:r>
        <w:rPr>
          <w:b/>
        </w:rPr>
        <w:t>E. 30</w:t>
      </w:r>
    </w:p>
    <w:p>
      <w:r>
        <w:t>De même l’interrogation du recourant quant à la cohérence de la conclusion selon laquelle il serait totalement apte à travailler mais que son état de santé nécessiterait une augmentation du traitement médical est fondée.</w:t>
      </w:r>
    </w:p>
    <w:p>
      <w:r>
        <w:rPr>
          <w:b/>
        </w:rPr>
        <w:t>E. 31</w:t>
      </w:r>
    </w:p>
    <w:p>
      <w:r>
        <w:t>Compte tenu, principalement, des lacunes de l’anamnèse, des incohérences dans les conclusions, des erreurs dans le rapport d’expertise, des conclusions divergentes et non discutées avec les autres praticiens, il ne peut être reconnu pleine valeur probante au rapport du Dr G______.</w:t>
      </w:r>
    </w:p>
    <w:p>
      <w:r>
        <w:rPr>
          <w:b/>
        </w:rPr>
        <w:t>E. 32</w:t>
      </w:r>
    </w:p>
    <w:p>
      <w:r>
        <w:t>De surcroît, malgré ces incohérences manifestes AXA n’a pas poussé plus loin les investigations. Elle n’a même pas soumis le dossier à son propre médecin traitant ni pour lui demander son avis sur dossier ni même pour qu’il ait une consultation avec le patient. AXA n’a pas non plus posé des questions complémentaires aux praticiens concernés afin de d’éclaircir ces divergences.</w:t>
      </w:r>
    </w:p>
    <w:p>
      <w:r>
        <w:rPr>
          <w:b/>
        </w:rPr>
        <w:t>E. 33</w:t>
      </w:r>
    </w:p>
    <w:p>
      <w:r>
        <w:t>Ceci intervient dans un contexte où les conditions dans lesquelles l’expertise a été ordonnée interpellent. Aucune pièce au dossier ne prouve à quelle date AXA a reçu le rapport du Dr F______. Tous les documents produits attestent que l’expertise a été communiquée au patient et à son médecin en juillet 2012, soit quelques jours avant qu’un nouvel expert ne soit mandaté, le 30 juillet 2012, pour une mission strictement identique a celle du Dr F______. Le mandat d’expertise donné au Dr G______ est d’ailleurs, mot pour mot, le même que celui confié au Dr F______. Dans l’hypothèse où un complément s’avérait nécessaire, il aurait été logique de le confier à nouveau au Dr F______. L’on ne peut pas s’étonner du sentiment de l’assuré selon lequel les conclusions du premier expert n’étant pas favorables à l’assurance celle-ci a préféré en mandater un autre.</w:t>
      </w:r>
    </w:p>
    <w:p>
      <w:r>
        <w:rPr>
          <w:b/>
        </w:rPr>
        <w:t>E. 34</w:t>
      </w:r>
    </w:p>
    <w:p>
      <w:r>
        <w:t>Le litige se limite aux deux mois suivant la fin des rapports de travail.</w:t>
      </w:r>
    </w:p>
    <w:p>
      <w:r>
        <w:t>Au vu de ce qui précède, le rapport du Dr G______ ne peut se voir reconnu une pleine valeur probante. Il existe des motifs déterminants au sens de la jurisprudence pour s’écarter des conclusions dudit rapport.</w:t>
      </w:r>
    </w:p>
    <w:p>
      <w:r>
        <w:t>Il convient en conséquence de se fonder sur les avis médicaux des Drs F______, I______ de Bornem en Belgique et surtout D______ exprimé notamment dans son courrier du 30 septembre 2012. Il a de surcroît établi l’incapacité de travail de son patient, précisément pendant la période concernée, soit le 19 novembre 2012, attestant de l’incapacité de travail de M. A______ à 100% du 1er octobre 2012 au 30 novembre 2012, mais de sa pleine capacité dès le 1er décembre 2012. Une nouvelle expertise serait délicate puisque le recourant a recouvré entretemps sa capacité de travail. De surcroît, il n’est pas contesté que le traitement médicamenteux préconisé par l’expert lui-même ait péjoré l’état de santé du patient à compter de septembre 2012, ce que le Dr D______ a constaté et auquel il a dû remédier.</w:t>
      </w:r>
    </w:p>
    <w:p>
      <w:r>
        <w:t>A/3983/2013 - 17/19 -</w:t>
      </w:r>
    </w:p>
    <w:p>
      <w:r>
        <w:t>Enfin, l’argument de la défenderesse selon lequel le Dr D______ n’est pas détenteur d’un FMH en psychiatrie n’est pas pertinent en l’espèce pour attester de la prolongation de deux mois d’une incapacité de travail de l’assuré. L’assurance s’était fondée sur les avis dudit praticien pour les mois de décembre 2011 jusqu’à fin septembre 2012, soit jusqu’au litige et n’avait pas remis en cause ses compétences. De surcroît, l’avis du Dr D______ est conforté par le rapport du Dr F______, lequel avait indiqué que le traitement mis en place par le Dr D______ était parfaitement adéquat et devait être poursuivi, ce qui confirme la pertinence du praticien. De même le Dr F______ avait relevé que même si M. A______ était licencié, l’assuré resterait incapable de travailler, « la reprise d’activité devant être envisagée dès qu’il serait en état de se présenter à des entretiens d’embauche ».</w:t>
      </w:r>
    </w:p>
    <w:p>
      <w:r>
        <w:t>Le grief de la défenderesse selon lequel le Dr D______ ne s’était déterminé que sur le rapport du 5 septembre 2012 n’est pas déterminant. Le médecin n’a pas manifesté de changement de position à la lecture du rapport final du 30 septembre 2012 et a surtout confirmé l’incapacité de travail le 19 novembre 2012. Enfin l’argument selon lequel l’empêchement médical de travailler cesse de facto dès la date de la fin des rapports de travail lorsque cette incapacité est en lien avec l’employeur doit être examinée de cas en cas. Elle n’est pas vérifiée dans le cas d’espèce au vu des considérations qui précèdent.</w:t>
      </w:r>
    </w:p>
    <w:p>
      <w:r>
        <w:rPr>
          <w:b/>
        </w:rPr>
        <w:t>E. 35</w:t>
      </w:r>
    </w:p>
    <w:p>
      <w:r>
        <w:t>Le demandeur a établi à satisfaction de droit que son incapacité de travail a perduré jusqu’au 30 novembre 2012. Il sera fait droit à la demande de M. A______ sur la demande en paiement des indemnités journalières.</w:t>
      </w:r>
    </w:p>
    <w:p>
      <w:r>
        <w:rPr>
          <w:b/>
        </w:rPr>
        <w:t>E. 36</w:t>
      </w:r>
    </w:p>
    <w:p>
      <w:r>
        <w:t>Le montant des indemnités journalières n’est pas contesté, soit le 90% de CHF 890,60, ce qui représente CHF 801,54 par jour calendaire. Le montant de CHF 24'847,74 (CHF 801,54 x 31 jours) est dû pour octobre 2012, et CHF 24'046,20 (CHF 801,54 x 30 jours) pour novembre 2012, soit CHF 48'893,94. Le demandeur a procédé à l’imputation des indemnités chômage, soit CHF 4'258.10 perçu en octobre 2012 et le même montant pour novembre 2012. Il a ainsi conclu à CHF 40'377,74. Étant donné que la Cour de céans ne saurait statuer ultra petita (art. 58 al. 1 CPC), la défenderesse sera condamnée à verser à la demanderesse la somme de CHF 40'377,74.</w:t>
      </w:r>
    </w:p>
    <w:p>
      <w:r>
        <w:rPr>
          <w:b/>
        </w:rPr>
        <w:t>E. 37</w:t>
      </w:r>
    </w:p>
    <w:p>
      <w:r>
        <w:t>S’agissant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Le débiteur d'une obligation est en demeure par l'interpellation du créancier (art. 102 al. 1 CO) ; lorsque le jour de l'exécution a été déterminé d'un commun accord, ou fixé par l'une des parties en vertu d'un droit à elle réservé et au moyen d'un</w:t>
      </w:r>
    </w:p>
    <w:p>
      <w:r>
        <w:t>A/3983/2013 - 18/19 -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w:t>
      </w:r>
    </w:p>
    <w:p>
      <w:r>
        <w:rPr>
          <w:b/>
        </w:rPr>
        <w:t>E. 38</w:t>
      </w:r>
    </w:p>
    <w:p>
      <w:r>
        <w:t>L’interpellation est une déclaration de volonté que le créancier adresse au débiteur pour lui faire savoir qu’il exige la prestation sans délai (WEBER, Commentaire bernois, n. 63 ad art. 102 CO ; LARENZ, Lehrbuch des Schuldrechts, vol. I, Allgemeiner Teil, 14e éd., Munich 1987, p. 345). L’interpellation doit désigner la prestation à effectuer d’une manière suffisamment exacte pour que le débiteur comprenne ce que le créancier entend réclamer. S’il s’agit d’une créance d’argent, il faut en règle générale préciser son montant. Le créancier peut cependant renoncer à chiffrer sa prétention dans l’interpellation elle-même, par exemple, lorsqu’il se réfère à une facture envoyée auparavant et dans laquelle le montant est précisé (ATF 129 III 535 in JT 2003 I 590 consid. 3.2.2). Le demandeur a conclu à 5% d’intérêts dès le 1er novembre 2012. Dès le 5 octobre 2012, il a manifesté son désaccord avec la cessation du paiement des indemnités journalières. On peut considérer que l’intérêt moratoire est dû quatre semaines après le 5 octobre 2012, soit dès le 2 novembre 2012 pour les indemnités journalières dues pour octobre 2012 et dès le 1er décembre 2012 pour celles de novembre 2012, non exigibles avant cette date. Par ailleurs, l'assureur qui est en demeure doit l'intérêt moratoire au taux de 5 % l'an (art. 104 al. 1 CO; arrêt 4A_307/2008 du 27 novembre 2008 consid. 6.3.1).</w:t>
      </w:r>
    </w:p>
    <w:p>
      <w:r>
        <w:rPr>
          <w:b/>
        </w:rPr>
        <w:t>E. 39</w:t>
      </w:r>
    </w:p>
    <w:p>
      <w:r>
        <w:t>En conclusion, le montant dû pour octobre 2012 est donc de CHF 20'589,64 (CHF 24'847,74 sous imputation de CHF 4'258.10) avec intérêts à 5% dès le 2 novembre 2012. Le montant dû pour novembre 2012 est donc de CHF 19'788,10 (CHF 24'046,20 sous imputation de CHF 4'258.10) avec intérêts à 5% dès le 1er décembre 2012.</w:t>
      </w:r>
    </w:p>
    <w:p>
      <w:r>
        <w:rPr>
          <w:b/>
        </w:rPr>
        <w:t>E. 40</w:t>
      </w:r>
    </w:p>
    <w:p>
      <w:r>
        <w:t>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 La demanderesse, représentée par un conseil, obtenant gain de cause, la défenderesse est condamnée à lui verser une indemnité de 6’000 fr. à titre de dépens, TVA et débours inclus (art. 106 al. 1 CPC ; art. 20 à 23 de la loi d'application du code civil et du code des obligations du 7 mai 1981 [LaCC ; RS E 1 05]; art. 84 et 85 du RTFMC). Pour le surplus, la procédure est gratuite (art. 114 let. e CPC).</w:t>
      </w:r>
    </w:p>
    <w:p>
      <w:r>
        <w:t>A/3983/2013 - 19/19 -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