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ATAS/797/2013 vom 22. August 2013</w:t>
      </w:r>
    </w:p>
    <w:p>
      <w:r>
        <w:t>GE Cour de justice, 2013-08-22, FR</w:t>
      </w:r>
    </w:p>
    <w:p>
      <w:r>
        <w:rPr>
          <w:b/>
        </w:rPr>
        <w:t xml:space="preserve">Quelle: </w:t>
      </w:r>
      <w:r>
        <w:t>https://mcp.opencaselaw.ch/entscheid/ge_gerichte_ATAS_797_2013</w:t>
      </w:r>
    </w:p>
    <w:p>
      <w:r>
        <w:t>FR: GE_GERICHTE ATAS/797/2013 du 22 août 2013</w:t>
      </w:r>
    </w:p>
    <w:p>
      <w:r>
        <w:t>IT: GE_GERICHTE ATAS/797/2013 del 22 agosto 2013</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En l’occurrence, le Docteur D__________, ainsi que le Docteur E__________ du SMR ont considéré que le recourant était capable de travailler à 100% dans une</w:t>
      </w:r>
    </w:p>
    <w:p>
      <w:r>
        <w:t>- 9/11-</w:t>
      </w:r>
    </w:p>
    <w:p>
      <w:r>
        <w:t>A/843/2013 activité adaptée à ses limitations fonctionnelles. Par la suite, le recourant a été soumis à une orientation professionnelle aux EPI. Or, alors même que son engagement et la qualité de son travail avait été jugé comme très bon, son rendement était diminué d’environ 50 à 60% en raison de l’alternance des positions et du fait qu’il avait de la peine à tenir un rythme de travail régulier sur toute la journée, étant rapidement fatigué et semblant souffrir de ses atteintes. Cependant, selon le service de réadaptation professionnelle de l’intimé, la baisse de rendement constatée doit être attribuée aux nombreux diagnostics qui ne sont pas du ressort de l’assurance-invalidité, comme la fibromyalgie, un possible trouble somatoforme et l’obésité. La Cour n’est pas convaincue par l’appréciation précitée du service de réadaptation professionnelle au vu de l’excellent engagement du recourant durant la mesure d’orientation professionnelle, ainsi que des atteintes au dos objectivées, lesquelles requièrent l’alternance régulière des positions et engendrent des douleurs pouvant être responsables d’une baisse de rendement, notamment en fin de journée. Aussi, la Cour juge nécessaire de soumettre le recourant à une expertise rhumatologique judiciaire.</w:t>
      </w:r>
    </w:p>
    <w:p>
      <w:r>
        <w:rPr>
          <w:b/>
        </w:rPr>
        <w:t>E. 3</w:t>
      </w:r>
    </w:p>
    <w:p>
      <w:r>
        <w:t>Quant aux questions supplémentaires suggérées par le recourant, le questionnaire sera complété par celle portant sur le pronostic. Toutefois, la seconde question proposée par le recourant est déjà contenue dans sa question 3 de l’avis de la Cour, de sorte qu’il n’en sera pas tenu compte.</w:t>
      </w:r>
    </w:p>
    <w:p>
      <w:r>
        <w:rPr>
          <w:b/>
        </w:rPr>
        <w:t>E. 4</w:t>
      </w:r>
    </w:p>
    <w:p>
      <w:r>
        <w:t>Le diabète dont est affecté le recourant peut-il être responsable de la fatigue observée et, dans l'affirmative, à quel pourcentage selon toute vraisemblance (prendre le cas échéant l’avis d’un tiers consultant)?</w:t>
      </w:r>
    </w:p>
    <w:p>
      <w:r>
        <w:t>- 11/11-</w:t>
      </w:r>
    </w:p>
    <w:p>
      <w:r>
        <w:t>A/843/2013</w:t>
      </w:r>
    </w:p>
    <w:p>
      <w:r>
        <w:rPr>
          <w:b/>
        </w:rPr>
        <w:t>E. 5</w:t>
      </w:r>
    </w:p>
    <w:p>
      <w:r>
        <w:t>Dans quelle mesure, la limitation du rendement observée est-elle à mettre sur le compte de la fibromyalgie et de l’obésité selon toute vraisemblance ?</w:t>
      </w:r>
    </w:p>
    <w:p>
      <w:r>
        <w:rPr>
          <w:b/>
        </w:rPr>
        <w:t>E. 6</w:t>
      </w:r>
    </w:p>
    <w:p>
      <w:r>
        <w:t>Quelle est la capacité de travail du recourant dans une activité adaptée, soit notamment dans les activités d'ouvrier de conditionnement et d'ouvrier à l'établi, dans lesquelles il a été observé aux EPI, compte tenu des atteintes rhumatologiques et du diabète, sans l'éventuelle fibromyalgie diagnostiquée? Y a-t-il une diminution de rendement et de quel pourcentage? Depuis quelle date y a-t-il le cas échéant une diminution de la capacité de travail et/ou du rendement et comment ceux-ci ont-ils évolué?</w:t>
      </w:r>
    </w:p>
    <w:p>
      <w:r>
        <w:rPr>
          <w:b/>
        </w:rPr>
        <w:t>E. 7</w:t>
      </w:r>
    </w:p>
    <w:p>
      <w:r>
        <w:t>Partagez-vous les conclusions de l'expertise du Dr D__________ et de l’examen clinique rhumatologique du 17 novembre 2010 du Dr E__________, médecin au SMR ?</w:t>
      </w:r>
    </w:p>
    <w:p>
      <w:r>
        <w:rPr>
          <w:b/>
        </w:rPr>
        <w:t>E. 8</w:t>
      </w:r>
    </w:p>
    <w:p>
      <w:r>
        <w:t>Quel est votre pronostic ? D. Invite la Dresse G__________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