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ATAS/797/2011 vom 1. September 2011</w:t>
      </w:r>
    </w:p>
    <w:p>
      <w:r>
        <w:t>GE Cour de justice, 2011-09-01, FR</w:t>
      </w:r>
    </w:p>
    <w:p>
      <w:r>
        <w:rPr>
          <w:b/>
        </w:rPr>
        <w:t xml:space="preserve">Quelle: </w:t>
      </w:r>
      <w:r>
        <w:t>https://mcp.opencaselaw.ch/entscheid/ge_gerichte_ATAS_797_2011</w:t>
      </w:r>
    </w:p>
    <w:p>
      <w:r>
        <w:t>FR: GE_GERICHTE ATAS/797/2011 du 1 septembre 2011</w:t>
      </w:r>
    </w:p>
    <w:p>
      <w:r>
        <w:t>IT: GE_GERICHTE ATAS/797/2011 del 1 settembre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w:t>
      </w:r>
    </w:p>
    <w:p>
      <w:r>
        <w:t>A/277/2010 - 9/15 - Tribunal cantonal des assurances sociales (art. 143 al. 6 de la LOJ du 26 septembre 2010). Sa compétence pour juger du cas d’espèce est ainsi établie.</w:t>
      </w:r>
    </w:p>
    <w:p>
      <w:r>
        <w:rPr>
          <w:b/>
        </w:rPr>
        <w:t>E. 2</w:t>
      </w:r>
    </w:p>
    <w:p>
      <w:r>
        <w:t>Interjeté dans les formes et délai prévus par la loi, le présent recours est recevable (art. 56 à 61 LPGA).</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9 décembre 2010 est postérieure à l’entrée en vigueur de la LPGA et des modifications de la LAI relatives à la 4ème et à la 5ème révisions, entrées en vigueur respectivement en date des 1er janvier 2004 et 1er janvier 2008. Par conséquent, d’un point de vue matériel, le droit aux prestations doit être examiné au regard des nouvelles normes de la LPGA et des modifications de la LAI consécutives à la 5ème révision de cette loi, dans la mesure de leur pertinence (ATF 130 V 445 et les références, voir également ATF 130 V 329).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litige porte sur le point de savoir si les atteintes à la santé dont souffre la recourante sont invalidantes et ouvrent, le cas échéant, droit à des prestations de l'assurance-invalidité.</w:t>
      </w:r>
    </w:p>
    <w:p>
      <w:r>
        <w:rPr>
          <w:b/>
        </w:rPr>
        <w:t>E. 5</w:t>
      </w:r>
    </w:p>
    <w:p>
      <w:r>
        <w:t>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w:t>
      </w:r>
    </w:p>
    <w:p>
      <w:r>
        <w:t>A/277/2010 - 10/15 -</w:t>
      </w:r>
    </w:p>
    <w:p>
      <w:r>
        <w:t>L'art. 16 LPGA prescrit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définitions de l'incapacité de travail, l'incapacité de gain,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(ATFA I 626/03 du 30 avril 2004).</w:t>
      </w:r>
    </w:p>
    <w:p>
      <w:r>
        <w:rPr>
          <w:b/>
        </w:rPr>
        <w:t>E. 6</w:t>
      </w:r>
    </w:p>
    <w:p>
      <w:r>
        <w:t>L'invalidité est une notion économique et non médicale; ce ne sont donc pas les critères médico-théoriques qui sont déterminants, mais les répercussions de l'atteinte à la santé sur la capacité de gain (cf. par analogie, RAMA 1991 no U 130 p. 272 consid. 3b; voir aussi ATF 114 V 314 consid. 3c).</w:t>
      </w:r>
    </w:p>
    <w:p>
      <w:r>
        <w:t>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7</w:t>
      </w:r>
    </w:p>
    <w:p>
      <w:r>
        <w:t>Parmi les atteintes à la santé psychique qui peuvent, comme les atteintes physiques, provoquer une invalidité, il faut mentionner - outre les affections mentales proprement dites - les anomalies psychiques qui équivalent à des maladies.</w:t>
      </w:r>
    </w:p>
    <w:p>
      <w:r>
        <w:t>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w:t>
      </w:r>
    </w:p>
    <w:p>
      <w:r>
        <w:rPr>
          <w:b/>
        </w:rPr>
        <w:t>E. 8</w:t>
      </w:r>
    </w:p>
    <w:p>
      <w:r>
        <w:t>a) L’instruction des faits d’ordre médical se fonde sur les rapports adressés par le(s) médecin(s) traitant(s) à l’Office AI, les expertises de médecins indépendants de l’institution d’assurance, les examens pratiqués par les centres d’observation médicale de l’AI, les expertises produites par une partie ainsi que les expertises médicales ordonnées par le juge. Dans le cadre de l’évaluation de l’invalidité, la</w:t>
      </w:r>
    </w:p>
    <w:p>
      <w:r>
        <w:t>A/277/2010 - 11/15 -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105 V 158 consid. 1).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Cependant, le Tribunal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w:t>
      </w:r>
    </w:p>
    <w:p>
      <w:r>
        <w:t>A/277/2010 - 12/15 - œuvre une expertise par un médecin indépendant selon la procédure de l'art. 44 LPGA ou une expertise judiciaire (ATF 135 V 465). d)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Les atteintes éventuelles à la santé entraînent-elles une incapacité de travail et à quel taux ? a) dans l'activité précédemment exercée b) dans une autre activité ?</w:t>
      </w:r>
    </w:p>
    <w:p>
      <w:r>
        <w:t>A/277/2010 - 15/15 -</w:t>
      </w:r>
    </w:p>
    <w:p>
      <w:r>
        <w:t>Existe-t-il une activité adaptée aux limitations de la recourante ? Laquelle ? Y aurait-il diminution de rendement ? Le cas échéant, à partir de quand peut-on exiger de l'assuré une telle activité ?</w:t>
      </w:r>
    </w:p>
    <w:p>
      <w:r>
        <w:rPr>
          <w:b/>
        </w:rPr>
        <w:t>E. 10</w:t>
      </w:r>
    </w:p>
    <w:p>
      <w:r>
        <w:t>La recourante rencontre-t-elle des difficultés à accomplir ses tâches ménagères ? Si oui, lesquelles, pour quelles raisons et dans quelle mesure ?</w:t>
      </w:r>
    </w:p>
    <w:p>
      <w:r>
        <w:rPr>
          <w:b/>
        </w:rPr>
        <w:t>E. 11</w:t>
      </w:r>
    </w:p>
    <w:p>
      <w:r>
        <w:t>Quelle a été l'évolution de l'état de santé de l'assurée dans le temps et comment a évolué sa capacité de travail ?</w:t>
      </w:r>
    </w:p>
    <w:p>
      <w:r>
        <w:rPr>
          <w:b/>
        </w:rPr>
        <w:t>E. 12</w:t>
      </w:r>
    </w:p>
    <w:p>
      <w:r>
        <w:t>Si votre diagnostic et/ou votre appréciation de la capacité de travail de l'assurée diffèrent des conclusions des autres médecins s'étant déjà exprimés - y compris celui qui a conduit l'examen SMR du 29 mai 2011 -, veuillez expliquer les raisons pour lesquelles votre avis diverge. Une éventuelle évolution négative postérieure à l'examen psychiatrique du SMR devra être développée de manière approfondie.</w:t>
      </w:r>
    </w:p>
    <w:p>
      <w:r>
        <w:rPr>
          <w:b/>
        </w:rPr>
        <w:t>E. 13</w:t>
      </w:r>
    </w:p>
    <w:p>
      <w:r>
        <w:t>La capacité de travail peut-elle être améliorée par des mesures médicales ?</w:t>
      </w:r>
    </w:p>
    <w:p>
      <w:r>
        <w:rPr>
          <w:b/>
        </w:rPr>
        <w:t>E. 14</w:t>
      </w:r>
    </w:p>
    <w:p>
      <w:r>
        <w:t>Pronostic</w:t>
      </w:r>
    </w:p>
    <w:p>
      <w:r>
        <w:rPr>
          <w:b/>
        </w:rPr>
        <w:t>E. 15</w:t>
      </w:r>
    </w:p>
    <w:p>
      <w:r>
        <w:t>Toute remarque utile et proposition de l’expert 5. Invite l'expert à rendre son rapport à la Cour de céans d'ici le 13 janvier 2012. 6. Réserve le fond.</w:t>
      </w:r>
    </w:p>
    <w:p>
      <w:r>
        <w:t>La greffière</w:t>
      </w:r>
    </w:p>
    <w:p>
      <w:r>
        <w:t>Marie-Catherine SECHAUD</w:t>
      </w:r>
    </w:p>
    <w:p>
      <w:r>
        <w:t>La présidente</w:t>
      </w:r>
    </w:p>
    <w:p>
      <w:r>
        <w:t>Karine STECK Une copie conforme du présent arrêt est not77ifiée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