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ATAS/796/2022 vom 1. September 2022</w:t>
      </w:r>
    </w:p>
    <w:p>
      <w:r>
        <w:t>GE Cour de justice, 2022-09-01, FR</w:t>
      </w:r>
    </w:p>
    <w:p>
      <w:r>
        <w:rPr>
          <w:b/>
        </w:rPr>
        <w:t xml:space="preserve">Quelle: </w:t>
      </w:r>
      <w:r>
        <w:t>https://mcp.opencaselaw.ch/entscheid/ge_gerichte_ATAS_796_2022</w:t>
      </w:r>
    </w:p>
    <w:p>
      <w:r>
        <w:t>FR: GE_GERICHTE ATAS/796/2022 du 1 septembre 2022</w:t>
      </w:r>
    </w:p>
    <w:p>
      <w:r>
        <w:t>IT: GE_GERICHTE ATAS/796/2022 del 1 settembre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A/2144/2021 - 7/13 -</w:t>
      </w:r>
    </w:p>
    <w:p>
      <w:r>
        <w:rPr>
          <w:b/>
        </w:rPr>
        <w:t>E. 3</w:t>
      </w:r>
    </w:p>
    <w:p>
      <w:r>
        <w:t>Le 1er janvier 2021, est entrée en vigueur la modification du 21 juin 2019 de la LPGA.</w:t>
      </w:r>
    </w:p>
    <w:p>
      <w:r>
        <w:rPr>
          <w:b/>
        </w:rPr>
        <w:t>E. 3.1</w:t>
      </w:r>
    </w:p>
    <w:p>
      <w:r>
        <w:t>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3.2</w:t>
      </w:r>
    </w:p>
    <w:p>
      <w:r>
        <w:t>Déposé après le 1er janvier 2021, le recours sera donc traité sous l'angle du nouveau droit de la LPGA (cf. ATAS/360/2021 du 15 avril 2021 consid. 3).</w:t>
      </w:r>
    </w:p>
    <w:p>
      <w:r>
        <w:rPr>
          <w:b/>
        </w:rPr>
        <w:t>E. 4</w:t>
      </w:r>
    </w:p>
    <w:p>
      <w:r>
        <w:t>Dans la mesure où la décision litigieuse porte sur les prestations complémentaires pour la période du 1er janvier 2015 au 31 juillet 2018, soit sur une période antérieure à l'entrée en vigueur, le 1er janvier 2021, des modifications des 22 mars, 20 décembre 2019 et 14 octobre 2020, le litige est soumis à l'ancien droit, en l'absence de dispositions transitoires prévoyant une application rétroactive du nouveau droit (arrêt du Tribunal fédéral des assurances U.18/07 du 7 février 2008 consid. 1.2). Les dispositions légales de la LPC seront donc citées ci-après dans leur teneur en vigueur jusqu'au 31 décembre 2020.</w:t>
      </w:r>
    </w:p>
    <w:p>
      <w:r>
        <w:rPr>
          <w:b/>
        </w:rPr>
        <w:t>E. 5</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6</w:t>
      </w:r>
    </w:p>
    <w:p>
      <w:r>
        <w:t>Le litige porte sur le bien-fondé de la demande en restitution de la somme de CHF 39'875.- formulée par l'intimé et correspondant aux prestations versées à tort au recourant pour la période du 1er janvier 2015 au 31 juillet 2018, en particulier sur l'intégration dans les calculs de la prise en compte de la valeur – fiscale jusqu'au 30 avril 2018, puis vénale – et du produit du bien immobilier que possède le bénéficiaire au Portugal.</w:t>
      </w:r>
    </w:p>
    <w:p>
      <w:r>
        <w:rPr>
          <w:b/>
        </w:rPr>
        <w:t>E. 7</w:t>
      </w:r>
    </w:p>
    <w:p>
      <w:r>
        <w:t>Sur le plan fédéral, les personnes qui ont leur domicile et leur résidence habituelle en Suisse ont droit à des prestations complémentaires dès lors qu’elles perçoivent une rente de l'assurance-vieillesse et survivants (AVS) ou de l'assurance-invalidité (AI) ou auraient droit à une telle rente (art. 4 al. 1 LPC).</w:t>
      </w:r>
    </w:p>
    <w:p>
      <w:r>
        <w:rPr>
          <w:b/>
        </w:rPr>
        <w:t>E. 7.1</w:t>
      </w:r>
    </w:p>
    <w:p>
      <w:r>
        <w:t>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w:t>
      </w:r>
    </w:p>
    <w:p>
      <w:r>
        <w:rPr>
          <w:b/>
        </w:rPr>
        <w:t>E. 7.2</w:t>
      </w:r>
    </w:p>
    <w:p>
      <w:r>
        <w:t>Les dépenses reconnues sont énumérées à l'art. 10 LPC. Pour les personnes vivant à domicile (c'est-à-dire ni dans un home, ni dans un hôpital), elles comprennent, en premier lieu, les montants annuels destinés à la couverture des</w:t>
      </w:r>
    </w:p>
    <w:p>
      <w:r>
        <w:t>A/2144/2021 - 8/13 - besoins vitaux (let. a), le loyer d’un appartement et les frais accessoires y relatifs (let. b), ainsi que les frais, cotisations et montants ressortant de l'art. 10 al. 3 LPC.</w:t>
      </w:r>
    </w:p>
    <w:p>
      <w:r>
        <w:rPr>
          <w:b/>
        </w:rPr>
        <w:t>E. 7.3</w:t>
      </w:r>
    </w:p>
    <w:p>
      <w:r>
        <w:t>Les revenus déterminants sont définis à l'art. 11 LPC. Ils comprennent notamment ceux provenant d'une activité lucrative (al. 1 let. a), le produit de la fortune mobilière et immobilière (al. 1 let. b), une part de la fortune (al. 1 let. c), les rentes, pensions et prestations périodiques (al. 1 let. d) et les ressources et parts de fortune dont un ayant-droit s'est dessaisi (al. 1 let. g).</w:t>
      </w:r>
    </w:p>
    <w:p>
      <w:r>
        <w:rPr>
          <w:b/>
        </w:rPr>
        <w:t>E. 7.4</w:t>
      </w:r>
    </w:p>
    <w:p>
      <w:r>
        <w:t>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w:t>
      </w:r>
    </w:p>
    <w:p>
      <w:r>
        <w:rPr>
          <w:b/>
        </w:rPr>
        <w:t>E. 7.4.1</w:t>
      </w:r>
    </w:p>
    <w:p>
      <w:r>
        <w:t>Cette notion englobe tous les revenus de la fortune mobilière et immobilière, y compris le produit transférable en Suisse d’une fortune qui se trouve à l’étranger (ch. 3431.01 des Directives de l'office fédéral des assurances sociales concernant les prestations complémentaires à l'AVS et à l'AI, état au 1er janvier 2021 [DPC]).</w:t>
      </w:r>
    </w:p>
    <w:p>
      <w:r>
        <w:rPr>
          <w:b/>
        </w:rPr>
        <w:t>E. 7.4.2</w:t>
      </w:r>
    </w:p>
    <w:p>
      <w:r>
        <w:t>En vertu de l'art. 17 de l'ordonnance sur les prestations complémentaires à l'assurance-vieillesse, survivants et invalidité du 15 janvier 1971 (OPC-AVS/AI – RS 831.301) ‒ dans sa teneur en vigueur jusqu'au 31 décembre 2020 ‒,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DPC). Dans ses commentaires concernant la modification de l'OPC-AVS/AI entrée en vigueur le 1er janvier 1992, l'Office fédéral des assurances sociales (OFAS) a relevé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Il n'en va pas de même si l'immeuble ne sert pas d'habitation aux intéressés; 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des assurances P.13/01 du 25 février 2002 consid 5c/aa; RCC 1991 p. 424).</w:t>
      </w:r>
    </w:p>
    <w:p>
      <w:r>
        <w:t>A/2144/2021 - 9/13 - S'agissant d'immeubles sis à l'étranger, on peut se fonder sur une estimation établie à l'étranger, s'il n'est pas raisonnablement possible de procéder à une autre estimation (arrêt du Tribunal fédéral 9C_540/2009 du 17 septembre 2009 consid. 5.2; ch. 3444.03 DPC).</w:t>
      </w:r>
    </w:p>
    <w:p>
      <w:r>
        <w:rPr>
          <w:b/>
        </w:rPr>
        <w:t>E. 7.4.3</w:t>
      </w:r>
    </w:p>
    <w:p>
      <w:r>
        <w:t>En ce qui concerne plus spécifiquement le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3ème éd. 2016 p. 1838 s. n. 157; pour un cas d'application : cf. notamment l'arrêt du Tribunal fédéral des assurances P.33/05 du 8 novembre 2005 consid. 3; cf. également l'arrêt du Tribunal fédéral des assurances P.37/03 du 15 octobre 2003).</w:t>
      </w:r>
    </w:p>
    <w:p>
      <w:r>
        <w:rPr>
          <w:b/>
        </w:rPr>
        <w:t>E. 7.4.4</w:t>
      </w:r>
    </w:p>
    <w:p>
      <w:r>
        <w:t>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w:t>
      </w:r>
    </w:p>
    <w:p>
      <w:r>
        <w:rPr>
          <w:b/>
        </w:rPr>
        <w:t>E. 7.4.5</w:t>
      </w:r>
    </w:p>
    <w:p>
      <w:r>
        <w:t>En ce qui concerne le taux de conversion applicable pour le calcul de la fortune immobilière et de la valeur locative y relative, il y a lieu d’appliquer les DPC. Bien que ces directives concernent les rentes servies, elles sont applicables par analogie aux autres éléments composant les revenus déterminants, tels que la fortune immobilière (cf. notamment ATAS/951/2021 du 16 septembre 2021 consid. 14; ATAS/1146/2019 du 9 décembre 2019 consid. 8). Selon le chiffre 3452.01 des DPC, pour les rentes et pensions qui sont versées en devises d’États parties à l’accord sur la libre circulation des personnes CH-UE ou à la Convention AELE, le cours de conversion applicable est le cours du jour publié par la Banque centrale européenne. Est déterminant le premier cours du</w:t>
      </w:r>
    </w:p>
    <w:p>
      <w:r>
        <w:t>A/2144/2021 - 10/13 - jour disponible du mois qui précède immédiatement le début du droit à la prestation.</w:t>
      </w:r>
    </w:p>
    <w:p>
      <w:r>
        <w:rPr>
          <w:b/>
        </w:rPr>
        <w:t>E. 8</w:t>
      </w:r>
    </w:p>
    <w:p>
      <w:r>
        <w:t>Sur le plan cantonal, ont droit aux prestations complémentaires les personnes qui remplissent les conditions de l'art. 2 LPCC et dont le revenu annuel déterminant n'atteint pas le revenu minimum cantonal d'aide sociale applicable (art. 4 LPCC).</w:t>
      </w:r>
    </w:p>
    <w:p>
      <w:r>
        <w:rPr>
          <w:b/>
        </w:rPr>
        <w:t>E. 8.1</w:t>
      </w:r>
    </w:p>
    <w:p>
      <w:r>
        <w:t>Le montant annuel de la prestation complémentaire correspondant correspond à la part des dépenses reconnues qui excède le revenu annuel déterminant de l'intéressé (art. 15 al. 1 LPCC).</w:t>
      </w:r>
    </w:p>
    <w:p>
      <w:r>
        <w:rPr>
          <w:b/>
        </w:rPr>
        <w:t>E. 8.2</w:t>
      </w:r>
    </w:p>
    <w:p>
      <w:r>
        <w:t>Selon l'art. 5 LPCC, le revenu déterminant est calculé conformément aux règles fixées dans la LPC et ses dispositions d'exécution, moyennant des adaptations.</w:t>
      </w:r>
    </w:p>
    <w:p>
      <w:r>
        <w:rPr>
          <w:b/>
        </w:rPr>
        <w:t>E. 8.3</w:t>
      </w:r>
    </w:p>
    <w:p>
      <w:r>
        <w:t>Les dépenses reconnues sont celles énumérées par la loi fédérale et ses dispositions d'exécution ‒ à l'exclusion du montant destiné à la couverture des besoins vitaux, remplacé par le montant destiné à garantir le revenu minimum cantonal d'aide sociale défini à l'art. 3 LPCC (art. 6 LPCC).</w:t>
      </w:r>
    </w:p>
    <w:p>
      <w:r>
        <w:rPr>
          <w:b/>
        </w:rPr>
        <w:t>E. 8.4</w:t>
      </w:r>
    </w:p>
    <w:p>
      <w:r>
        <w:t>Selon l'art. 7 LPCC, la fortune comprend la fortune mobilière et immobilière définie par la LPC et ses dispositions d'exécution (al. 1). La fortune est évaluée selon les règles de la loi sur l'imposition des personnes physiques du 27 septembre 2009 (LIPP - D 3 08), à l'exception notamment des règles concernant les déductions sociales sur la fortune, prévues aux art. 50 let. e et 58 de ladite loi, qui ne sont pas applicables. Les règles d'évaluation prévues par la LPC et ses dispositions d'exécution sont réservées (al.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l'intimé, après avoir découvert l'existence d'un bien immobilier appartenant au recourant, a repris le calcul des prestations en tenant compte de sa valeur, telle que ressortant des taxations fiscales portugaises jusqu'en avril 2018, puis à sa valeur vénale telle que définie par l'étude de marché, ainsi que du revenu qu'il aurait pu engendrer, établi lui aussi par l'étude de marché produite par l'intéressé. De ces calculs, il est ressorti que des prestations avaient été versées à tort au bénéficiaire.</w:t>
      </w:r>
    </w:p>
    <w:p>
      <w:r>
        <w:t>A/2144/2021 - 11/13 - Il n'est plus contesté, à ce stade, que plusieurs parcelles ont été réunies sous un même numéro, et les calculs de l'intimé, corrigés en ce sens dans la décision sur opposition, ne sont plus remis en question. La valeur du bien n'est pas contestable. Elle a été dûment établie sur la base d'une étude de marché produite par le recourant lui-même dès mai 2018. Il en va de même du produit du bien, fixé à 140.- EUR, montant correspondant à la fourchette évoquée par le consultant à l'origine de l'étude de marché en question et en tenant compte de l'état du bien. Quant à la période antérieure, la valeur fiscale retenue est en faveur du bénéficiaire, puisque moindre. Seule reste en réalité litigieuse à ce stade la question de savoir si le bénéficiaire est seul propriétaire du bien ou s'il n'en possède que 50%, comme il le prétend. Ainsi que le fait remarquer l'intimé, le terrain sur lequel le bien a été construit est la propriété du seul bénéficiaire, ce que celui-ci admet. Il argue en revanche que la maison aurait été construite avec les acquêts du couple et que la moitié serait donc tombée dans la succession de son ex-femme. Il ressort pourtant des dernières taxations fiscales que le recourant s'est déclaré seul propriétaire. À ce jour, il n'est pas démontré qu'il aurait contesté lesdites taxations, que ce soit au Portugal ou à Genève. En particulier, le recourant se contente d'alléguer qu'il aurait saisi les autorités fiscales portugaises, sans en apporter la preuve. Quant aux autres documents produits, ils n'apportent pas non plus la preuve que le recourant n'aurait pas la pleine propriété de la maison, ni que la procédure concernant l’inventaire de divorce porte effectivement sur ces derniers et, si tel était le cas, pour quelle part. Dans ces circonstances, c'est à juste titre que l'intimé a considéré, sur la base des documents fiscaux portugais en sa possession, le recourant comme seul propriétaire. Reste à examiner si les conditions permettant d'en réclamer la restitution étaient bel et bien remplies en l'occurrence.</w:t>
      </w:r>
    </w:p>
    <w:p>
      <w:r>
        <w:rPr>
          <w:b/>
        </w:rPr>
        <w:t>E. 11.1</w:t>
      </w:r>
    </w:p>
    <w:p>
      <w:r>
        <w:t>Aux termes de l’art. 25 al. 1er, 1ère phrase, LPGA, les prestations indûment touchées doivent être restituées. Selon la jurisprudence, cela implique que soient réunies les conditions d’une reconsidération (cf. art. 53 al. 2 LPGA) ou d’une révision procédurale (cf. art. 53 al. 1er LPGA) de la décision par laquelle les prestations ont été accordées (ATF 130 V 318, consid. 5.2, p. 319ss.). En ce qui concerne plus particulièrement la révision, l’obligation de restituer des prestations complémentaires indûment touchées et son étendue dans le temps ne sont pas liées à une violation de l’obligation de renseigner (ATF 122 V 134, consid. 2, p. 139). Il s’agit simplement de rétablir l’ordre légal, après la découverte du fait nouveau.</w:t>
      </w:r>
    </w:p>
    <w:p>
      <w:r>
        <w:rPr>
          <w:b/>
        </w:rPr>
        <w:t>E. 11.2</w:t>
      </w:r>
    </w:p>
    <w:p>
      <w:r>
        <w:t>En vertu de l’art. 25 al. 2 LPGA, le droit de demander la restitution s’éteint un an après le moment où l’institution a eu connaissance du fait, mais au plus tard</w:t>
      </w:r>
    </w:p>
    <w:p>
      <w:r>
        <w:t>A/2144/2021 - 12/13 - cinq ans après le versement de la prestation; si la créance naît d’un acte punissable pour lequel le droit pénal prévoit un délai de prescription plus long, celui-ci est déterminant. Le délai de la prescription relative d’une année commence à courir dès que l’administration aurait dû s’apercevoir, en faisant preuve de l’attention raisonnablement exigible, que les conditions d’une restitution étaient données (Ueli KIESER, ATSG-Kommentar : Kommentar zum Bundesgesetz über den Allgemeinen Teil des Sozialversicherungsrechts vom 6. Oktober 2000, Zurich 2003, note 27 ad art. 25).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p. 383).</w:t>
      </w:r>
    </w:p>
    <w:p>
      <w:r>
        <w:rPr>
          <w:b/>
        </w:rPr>
        <w:t>E. 11.3</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(ATF 126 V 23, consid. 4b et les arrêts cités).</w:t>
      </w:r>
    </w:p>
    <w:p>
      <w:r>
        <w:rPr>
          <w:b/>
        </w:rPr>
        <w:t>E. 11.4</w:t>
      </w:r>
    </w:p>
    <w:p>
      <w:r>
        <w:t>En l'espèce, il est avéré que des prestations versées au recourant depuis janvier 2015 l'ont été à tort, puisqu'il n'a été tenu compte ni du bien immobilier, ni du compte bancaire qu'il détenait à l'étranger. Le SPC a initié une procédure de révision en mars 2018 et a alors appris l'existence de ces éléments. Dès lors, en réclamant la restitution des prestations versées à tort par décision du 13 juillet 2018, l'intimé a agi en temps utile.</w:t>
      </w:r>
    </w:p>
    <w:p>
      <w:r>
        <w:rPr>
          <w:b/>
        </w:rPr>
        <w:t>E. 12</w:t>
      </w:r>
    </w:p>
    <w:p>
      <w:r>
        <w:t>Eu égard aux considérations qui précèdent, il apparaît que le principe de la restitution doit être confirmé. Le recours est donc rejeté.</w:t>
      </w:r>
    </w:p>
    <w:p>
      <w:r>
        <w:t>A/2144/2021 - 13/13 -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