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ATAS/796/2010 vom 4. August 2010</w:t>
      </w:r>
    </w:p>
    <w:p>
      <w:r>
        <w:t>GE Cour de justice, 2010-08-04, FR</w:t>
      </w:r>
    </w:p>
    <w:p>
      <w:r>
        <w:rPr>
          <w:b/>
        </w:rPr>
        <w:t xml:space="preserve">Quelle: </w:t>
      </w:r>
      <w:r>
        <w:t>https://mcp.opencaselaw.ch/entscheid/ge_gerichte_ATAS_796_2010</w:t>
      </w:r>
    </w:p>
    <w:p>
      <w:r>
        <w:t>FR: GE_GERICHTE ATAS/796/2010 du 4 août 2010</w:t>
      </w:r>
    </w:p>
    <w:p>
      <w:r>
        <w:t>IT: GE_GERICHTE ATAS/796/2010 del 4 agosto 2010</w:t>
      </w:r>
    </w:p>
    <w:p>
      <w:pPr>
        <w:pStyle w:val="Heading2"/>
      </w:pPr>
      <w:r>
        <w:t>Erwägungen</w:t>
      </w:r>
    </w:p>
    <w:p>
      <w:r>
        <w:rPr>
          <w:b/>
        </w:rPr>
        <w:t>E. 1</w:t>
      </w:r>
    </w:p>
    <w:p>
      <w:r>
        <w:t>Conformément à l'art. 56V al. 1 let. a ch. 2 de la loi sur l'organisation judiciaire, du 22 novembre 1941 (LOJ; E 2 05), le Tribunal cantonal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Les règles de procédure s’appliquent quant à elles sans réserve dès le jour de son entrée en vigueur (ATF 117 V 71 consid. 6b). Les modifications de la LAI relatives à la 4ème et à la 5ème révisions sont entrées en vigueur respectivement les 1er janvier 2004 et 1er janvier 2008. Il y a cependant lieu de relever que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dispositions de la novelle du 21 mars 2003 modifiant la LAI (4ème révision), entrées en vigueur le 1er janvier 2004 (RO 2003 3852), sont régies par le même principe. S'agissant des modifications de la LAI consécutives à la 5ème révision de cette loi, cette novelle n'a pas amené de modifications substantielles s'agissant de l'évaluation du taux d'invalidité (Message concernant la modification de la loi fédérale sur l'assurance-invalidité [5ème révision] du 22 juin 2005, FF 2005 4322).</w:t>
      </w:r>
    </w:p>
    <w:p>
      <w:r>
        <w:t>A/3224/2008 - 10/16 - En l'espèce, la décision litigieuse, datée du 15 juillet 2008, est postérieure à l'entrée en vigueur de la LPGA ainsi qu'à l'entrée en vigueur, le 1er janvier 2004 et le 1er janvier 2008, des modifications de la loi fédérale sur l'assurance-invalidité du 21 mars 2003 et du 6 octobre 2006 (4ème et 5ème révisions). Cependant, les faits pertinents remontent à l’année 1999, date à laquelle la demande de prestation a été déposée par la recourante. Par conséquent, du point de vue matériel, le droit éventuel à une rente d'invalidité doit être examiné au regard de l'ancien droit pour la période jusqu'au 31 décembre 2002 et, après le 1er janvier 2003, respectivement le 1er janvier 2004 et le 1er janvier 2008, en fonction des nouvelles normes de la LPGA et des modifications de la LAI consécutives à la 4ème et la 5ème révisions de cette loi, dans la mesure de leur pertinence (ATF 130 V 445, consid. 1).</w:t>
      </w:r>
    </w:p>
    <w:p>
      <w:r>
        <w:rPr>
          <w:b/>
        </w:rPr>
        <w:t>E. 3</w:t>
      </w:r>
    </w:p>
    <w:p>
      <w:r>
        <w:t>et 56 à 61 LPGA).</w:t>
      </w:r>
    </w:p>
    <w:p>
      <w:r>
        <w:rPr>
          <w:b/>
        </w:rPr>
        <w:t>E. 4</w:t>
      </w:r>
    </w:p>
    <w:p>
      <w:r>
        <w:t>Le litige porte sur la question de savoir quel est le degré d’invalidité qui doit être reconnu à la recourante du 1er juillet 1998 au 1er septembre 2008, voire au-delà.</w:t>
      </w:r>
    </w:p>
    <w:p>
      <w:r>
        <w:rPr>
          <w:b/>
        </w:rPr>
        <w:t>E. 5</w:t>
      </w:r>
    </w:p>
    <w:p>
      <w:r>
        <w:t>En vertu de l’art. 28 al. 1 LAI, dans sa teneur en vigueur jusqu'au 31 décembre 2003, l’assuré a droit à une rente entière s’il est invalide à 66 2/3% au moins, à une demi-rente s’il est invalide à 50 % au moins ou à un quart de rente s’il est invalide à 40% au moins. Dès le 1er janvier 2004, l’assuré a droit à une rente entière s’il est invalide à 70% au moins, à un trois-quarts de rente s'il est invalide à 60% au moins, à une demi-rente s’il est invalide à 50 % au moins, ou à un quart de rente s’il est invalide à 40% au moins.</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qu’une invalidité soit reconnue, il est nécessaire, dans chaque cas, qu’un diagnostic médical pertinent soit posé par un spécialiste et que soit mise en évidence une diminution importante de la capacité de travail (et de gain) (ATF 127 V 294, consid. 5a). b)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w:t>
      </w:r>
    </w:p>
    <w:p>
      <w:r>
        <w:t>A/3224/2008 - 11/16 - déterminer quels travaux on peut encore, raisonnablement, exiger de l'assuré (ATF 125 V 256 consid. 4; ATF 115 V 133 consid. 2).</w:t>
      </w:r>
    </w:p>
    <w:p>
      <w:r>
        <w:rPr>
          <w:b/>
        </w:rPr>
        <w:t>E. 7</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b) On peut et on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(ATF 125 V 351 consid. 3a, 122 V 157 consid. 1c; ATF 118 V 286 consid. 1b). c)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w:t>
      </w:r>
    </w:p>
    <w:p>
      <w:r>
        <w:t>A/3224/2008 - 12/16 - l'expert, on ne peut exclure, selon les cas, une interprétation divergente des conclusions de ce dernier par le juge ou, au besoin, une instruction complémentaire sous la forme d'une nouvelle expertise médicale (ATF du 26 juin 2003, I 671/02, consid. 4.1; ATF 125 V 352 consid. 3b/aa). d) En matière d'expertise portant sur des troubles psychiatriques, on peut encore préciser que d'après une majorité d'auteurs, les tests psychologiques ne sont à considérer que comme un complément d'examen clinique (voir Lignes directrices de la Société suisse de psychiatrie d'assurance pour l'expertise médicale des troubles psychiques, in Bulletin des médecins suisses, 2004/85, n° 36, p. 1905 et ss), comme le retient le Tribunal fédéral (ATF du 6 septembre 2006, I 145/06, consid. 4.2).</w:t>
      </w:r>
    </w:p>
    <w:p>
      <w:r>
        <w:rPr>
          <w:b/>
        </w:rPr>
        <w:t>E. 8</w:t>
      </w:r>
    </w:p>
    <w:p>
      <w:r>
        <w:t>En l’espèce, il y a lieu d'examiner à la lumière des critères rappelés ci-avant quelle valeur probante peut être reconnue à l'expertise réalisée par les Drs N__________ et O__________. Le rapport du Dr O__________ contient une anamnèse fouillée et prend en compte les rapports médicaux établis par le passé. L’expert a également relaté les plaintes de la recourante et procédé à leur examen. Enfin, il a eu recours à divers tests audiométriques pour évaluer objectivement l’atteinte auditive. L'expert, qui conclut à une capacité de travail de 50% eu égard au degré de gravité de la surdité de la recourante, a également pris soin de motiver son évaluation en expliquant quelles étaient concrètement les difficultés engendrées par ce handicap. Il y a dès lors lieu de reconnaître pleine valeur probante à ce rapport. Il n’en va en revanche pas de même du rapport du Dr N__________ et ce, pour les raisons suivantes. En premier lieu, l'expertise psychiatrique semble avoir essentiellement consisté en la passation de tests psychologiques. Cela n’est pas critiquable en soi car même si de tels tests ne sont pas indispensables à une expertise psychiatrique, ils n'en constituent pas moins des outils de diagnostic censés permettre des constats objectifs. En revanche, on comprend mal les raisons pour lesquelles l’expert, après avoir soumis l’assurée à ces tests, a ensuite décidé de ne pas tenir compte de leurs résultats. Alors même que les résultats de plusieurs de ces tests ont démontré l'existence chez l'expertisée de symptômes anxieux et dépressifs marqués, l’expert psychiatre a choisi de les ignorer systématiquement. Loin d’expliquer de manière circonstanciée les raisons qui l’amenaient à agir de la sorte, il s’est contenté d’écarter les conclusions auxquelles on pouvait aboutir au vu des résultat pour leur substituer son appréciation subjective de l'état de la recourante et ce, sous la forme d’appréciations pour le moins péremptoires.</w:t>
      </w:r>
    </w:p>
    <w:p>
      <w:r>
        <w:t>A/3224/2008 - 13/16 - On ajoutera que le Dr N__________ n’a ni pris connaissance du dossier médical de la recourante et ni contacté son médecin et son psychiatre traitants. Dans de telles conditions, la motivation de la conclusion selon laquelle l’assurée disposerait d’une pleine capacité de travail sur le plan psychique apparaît pour le moins insuffisante au vu des contradictions importantes relevées entre les résultats des tests et la conviction du psychiatre. Pour cette raison déjà, l’expertise du Dr N__________ ne saurait se voir reconnaître pleine valeur probante. S’y ajoute le fait que le Dr N__________, après avoir relevé en page 24 de son expertise que si la recourante n’avait pas objectivement souffert d’un problème ORL, on aurait pu conclure à des phénomènes de surcharge psychogène, se contredit en concluant précisément à de tels phénomènes. Enfin, la manière dont a été fixée le début de l'incapacité de travail par l’expert, qui, dans l’incapacité d’argumenter, a choisi de le faire remonter à l'année 2000 à titre de « compromis », n’est pas non plus satisfaisante. Eu égard à ces carences manifestes, le rapport du Dr N__________ ne peut donc se voir reconnaître la moindre valeur probante.</w:t>
      </w:r>
    </w:p>
    <w:p>
      <w:r>
        <w:rPr>
          <w:b/>
        </w:rPr>
        <w:t>E. 9</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Dès lors, conformément au principe inquisitoire régissant la procédure en matière d'assurances sociales, l'administration ou le juge doit procéder à l'établissement des faits de manière complète. Ce devoir d'instruction s'étend à tous les éléments pertinents dont dépend l'issue du litige. Ainsi, l'administration est tenue d'ordonner une instruction complémentaire lorsque les allégations des parties et les éléments ressortant du dossier requièrent une telle mesure (ATF 117 V 282, consid. 4a; ATF 110 V 48, consid. 4a). En l'espèce, le Tribunal de céans ne dispose pas des éléments nécessaires pour trancher. En effet, si l'on peut se fonder sur les conclusions claires du Dr O__________ pour admettre, au moment de l'expertise, une incapacité de travail à 50% du point de vue ORL, il est impossible de se déterminer sur l’existence d’une</w:t>
      </w:r>
    </w:p>
    <w:p>
      <w:r>
        <w:t>A/3224/2008 - 14/16 - atteinte psychique, la date à laquelle celle-ci aurait débuté et la manière dont elle aurait évolué. Quant à la période postérieure au 1er septembre 2008, si la recourante a certes admis qu'elle a bénéficié d’un appareillage permettant d’améliorer son état, elle ajoute aussi que son médecin continue de préconiser un taux d'activité réduit à 50%. En conséquence, il n'est pas possible de se prononcer sur l'état de santé passé et actuel de la recourante de manière fiable. Ses atteintes à la santé doivent donc faire l'objet de nouvelles investigations sur le plan psychique, afin de déterminer la gravité de l'état dépressif dont elle a souffert ou souffre encore, de déterminer comment il a évolué dans le temps et quelles ont été (ou sont encore) ses répercussions sur la capacité de travail de la recourante. Le volet ORL de l'expertise est quant à lui suffisamment documenté.</w:t>
      </w:r>
    </w:p>
    <w:p>
      <w:r>
        <w:rPr>
          <w:b/>
        </w:rPr>
        <w:t>E. 10</w:t>
      </w:r>
    </w:p>
    <w:p>
      <w:r>
        <w:t>Il se justifie dès lors de procéder à une nouvelle expertise afin de déterminer quelle a été la capacité de travail passée et actuelle de la recourante sur le plan psychique. Cette expertise sera confiée au Dr Q__________, spécialiste FMH en psychiatrie et psychothérapie.</w:t>
      </w:r>
    </w:p>
    <w:p>
      <w:r>
        <w:t>A/3224/2008 - 15/16 -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