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ATAS/796/2008 vom 7. Juli 2008</w:t>
      </w:r>
    </w:p>
    <w:p>
      <w:r>
        <w:t>GE Cour de justice, 2008-07-07, FR</w:t>
      </w:r>
    </w:p>
    <w:p>
      <w:r>
        <w:rPr>
          <w:b/>
        </w:rPr>
        <w:t xml:space="preserve">Quelle: </w:t>
      </w:r>
      <w:r>
        <w:t>https://mcp.opencaselaw.ch/entscheid/ge_gerichte_ATAS_796_2008</w:t>
      </w:r>
    </w:p>
    <w:p>
      <w:r>
        <w:t>FR: GE_GERICHTE ATAS/796/2008 du 7 juillet 2008</w:t>
      </w:r>
    </w:p>
    <w:p>
      <w:r>
        <w:t>IT: GE_GERICHTE ATAS/796/2008 del 7 luglio 2008</w:t>
      </w:r>
    </w:p>
    <w:p>
      <w:pPr>
        <w:pStyle w:val="Heading2"/>
      </w:pPr>
      <w:r>
        <w:t>Erwägungen</w:t>
      </w:r>
    </w:p>
    <w:p>
      <w:r>
        <w:rPr>
          <w:b/>
        </w:rPr>
        <w:t>E. 1</w:t>
      </w:r>
    </w:p>
    <w:p>
      <w:r>
        <w:t>Par arrêt du 13 mars 2007, le Tribunal fédéral des assurances a renvoyé la cause au Tribunal de céans pour complément d'instruction et nouveau jugement.</w:t>
      </w:r>
    </w:p>
    <w:p>
      <w:r>
        <w:rPr>
          <w:b/>
        </w:rPr>
        <w:t>E. 2</w:t>
      </w:r>
    </w:p>
    <w:p>
      <w:r>
        <w:t>L'objet du litige porte sur le droit du recourant à une rente d’invalidité.</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une date antérieure à l’entrée en vigueur de la LPGA. En conséquence, le présent cas reste régi par la législation en vigueur jusqu’au 31 décembre 2002, étant précisé que les règles de procédure quant à elles s'appliquent sans réserve dès le</w:t>
      </w:r>
    </w:p>
    <w:p>
      <w:r>
        <w:t>A/2035/2004 - 21/30 - jour de l’entrée en vigueur de la LPGA (ATF 117 V 93 consid. 6b, 112 V 360 consid. 4a; RAMA 1998 KV 37 p. 316 consid. 3b). Pour les mêmes raisons, les dispositions de la novelle du 21 mars 2003 modifiant la LAI (4ème révision), entrée en vigueur le 1er janvier 2004 (RO 2003 3852), ne sont pas applicables (ATF 127 V 467 consid. 1).</w:t>
      </w:r>
    </w:p>
    <w:p>
      <w:r>
        <w:rPr>
          <w:b/>
        </w:rPr>
        <w:t>E. 4</w:t>
      </w:r>
    </w:p>
    <w:p>
      <w:r>
        <w:t>Selon l’art. 4 al. 1 LAI, l'invalidité au sens de la présente loi est la diminution de la capacité de gain, présumée permanente ou de longue durée, qui résulte d'une atteinte à la santé physique, ou mentale provenant d'une infirmité congénitale, d'une maladie ou d'un accident. En vertu de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Dès le 1er janvier 2004, l’assuré a droit à une rente entière s’il est invalide à 70% au moins, à un trois-quarts de rente s'il est invalide à 60% au moins, à une demi-rente s’il est invalide à 50% au moins, ou à un quart de rente s’il est invalide à 40%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A/2035/2004 - 22/30 -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A/2035/2004 - 23/30 -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w:t>
      </w:r>
    </w:p>
    <w:p>
      <w:r>
        <w:t>A/2035/2004 - 24/30 -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t>A/2035/2004 - 25/30 -</w:t>
      </w:r>
    </w:p>
    <w:p>
      <w:r>
        <w:rPr>
          <w:b/>
        </w:rPr>
        <w:t>E. 7</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w:t>
      </w:r>
    </w:p>
    <w:p>
      <w:r>
        <w:t>A/2035/2004 - 26/30 -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8</w:t>
      </w:r>
    </w:p>
    <w:p>
      <w:r>
        <w:t>En l'espèce, l'expertise du Dr LB_________ du 19 octobre 2007 et celle du Dr LA_________ du 21 février 2008, complétée le 2 mai 2008, ainsi que leur appréciation consensuelle du cas remplissent toutes les exigences pour qu'il leur soit conféré une pleine valeur probante. a) L'expertise psychiatrique, basée notamment sur l'examen clinique du recourant les 24 octobre et 15 novembre 2007, l'analyse du taux de l'antidépresseur et les renseignements pris auprès des Drs LC_________ et K_________ est complète, détaillée et convaincante. Elle décrit notamment les plaintes du recourant ainsi que l'évolution de celles-ci. Dans le chapitre discussion, l'expert explique de façon précise pour quelle raison il a écarté le diagnostic d'épisode dépressif sévère pour retenir celui d'épisode dépressif moyen avec syndrome somatique existant depuis plusieurs années, probablement depuis 1999, soit antérieurement à l'apparition de la fibromyalgie. Au vu des constations du SMR en 2002, la dépression devait être à l'époque légère - le SMR ayant d'ailleurs constaté assez d'éléments pour que le diagnostic d'épisode dépressif puisse être reconnu - puis avait dû s'aggraver depuis lors et le diagnostic d'épisode dépressif avait été formellement posé par le Dr B_________ en novembre 2004, diagnostic qui devait déjà exister en septembre 2004. Les limitations dues au trouble dépressif tiennent à la baisse de l'énergie disponible (fatigabilité) et à la diminution de la capacité de supporter les stress sociaux (irritabilité) entraînant une diminution de rendement de 30 %. Le traitement était parfaitement adéquat et une amélioration à court ou moyen terme apparaissait peu probable. On pouvait parler de dépression résistante car il y avait très peu de chance qu'une augmentation du traitement, vu l'affection en cause, apporte une</w:t>
      </w:r>
    </w:p>
    <w:p>
      <w:r>
        <w:t>A/2035/2004 - 27/30 - amélioration significative. Compte tenu de la globalité des troubles, la diminution de rendement était de 40 % depuis septembre 2004. b) L'expertise du Dr LB_________, notamment basée sur l'examen de l'assuré du 19 octobre 2007, a confirmé clairement le diagnostic de fibromyalgie d'origine psychologique laquelle n'entraînait, du point de vue somatique, aucune diminution de la capacité de travail mais estimé de façon consensuelle avec l'expert psychiatre que le recourant subissait une incapacité de travail durable de 40 %. c) Les critiques émises tant par le recourant que par l'intimé ne sont pas apte à mettre en doute les conclusions de cette expertise bidisciplinaire. A cet égard, l'avis du Dr LC_________ du 11 juin 2008 rejoint dans la plupart des constatations qu'il fait, celles de l'expertise psychiatrique, en particulier l'existence d'un fonctionnement psychique perturbé depuis 1999 avec une évolution défavorable, sans possibilité d'amélioration dans un délai prédictible. La différence réside dans le critère de gravité de l'épisode dépressif, estimé comme sévère par le Dr LC_________ et comme moyen par l'expert. Or, ce dernier a expliqué de façon détaillée et convaincante les raisons objectives qui ne lui permettaient pas de retenir un épisode dépressif d'intensité sévère. Quant à l'appréciation de la capacité de travail, considérée comme nulle par le Dr LC_________, elle est sommairement motivée et fondée sur le diagnostic de dépression d'intensité sévère, justement écarté par l'expert. Concernant l'avis divergeant du SMR, il convient de souligner que la Dresse LD_________ ne dispose pas d'une spécialisation FMH en psychiatrie et psychothérapie, contrairement à l'expert judiciaire. En conséquence, elle ne saurait poser des diagnostics psychiatriques, de surcroît sans avoir examiné l'assuré. Il est à relever que la constatation du Dr LC_________ quant à la persistance de la dépression malgré l'augmentation du traitement médicamenteux corrobore l'avis de l'expert quant à la présence non pas d'une dépression insuffisamment traitée mais bien d'une dépression résistante. La Dresse LD_________ approuve les critiques du Dr LA_________ à l'encontre du critère de l'état psychique cristallisé à évaluer mais estime que ce dernier aurait dû refuser de répondre à cette question. Or, la question de l'existence d'un tel critère fait partie de la mission d'expertise judiciaire que l'expert doit au mieux remplir. Il appartenait ainsi à ce dernier de déterminer, au meilleur de ses connaissances, soit comme il l'a fait, si ce critère était ou non présent chez le recourant. Pour le reste, la Dresse LD_________ effectue une appréciation juridique qui outrepasse ses compétences. d) Au vu de ce qui précède, il convient d'admettre que les conclusions consensuelles des experts rhumatologue et psychiatre sont médicalement probantes. Reste à déterminer si les affections constatées ont un caractère invalidant.</w:t>
      </w:r>
    </w:p>
    <w:p>
      <w:r>
        <w:t>A/2035/2004 - 28/30 - A cet égard, force est de constater que l'épisode dépressif moyen avec syndrome somatique est apparu, selon l'expert psychiatre, antérieurement à la fibromyalgie. En ce sens, il ne saurait être considéré comme une manifestation réactive de celle-ci mais bien comme une affection psychique autonome, persistante, résistante aux traitements ordonnés et entraînant une incapacité de travail due à la baisse de l'énergie disponible (fatigabilité), à la diminution de la capacité de supporter les stress sociaux (irritabilité), à la limitation modérée des capacités volitionnelles ainsi qu'à l'effet du renforcement réciproque entre la dépression et les douleurs. Il y a lieu d'admettre que l'affection psychique dont souffre le recourant est ainsi d'importance et entraîne, en tant que comorbidité psychiatrique au sens de la jurisprudence précitée, des limitations fonctionnelles ayant comme conséquence une incapacité de travail constatée par les experts dans toute activité depuis septembre 2004 (voir à cet égard ATAS 981/07 et ATF du 14 mai 2008 9C 736/07 et ATF du 6 juin 2008, 9C 306/2008).</w:t>
      </w:r>
    </w:p>
    <w:p>
      <w:r>
        <w:rPr>
          <w:b/>
        </w:rPr>
        <w:t>E. 9</w:t>
      </w:r>
    </w:p>
    <w:p>
      <w:r>
        <w:t>a) En conséquence, le recourant subit une incapacité de travail durable de 40 % dans toute activité depuis le 1er septembre 2004. Force est de constater qu'à la date de la décision sur opposition, soit également le 1er septembre 2004, le recourant ne remplissait pas les conditions prévues à l'art. 29 LAI selon lesquelles le droit à une rente n'est ouvert notamment qu'à la condition que l'assuré ait présenté une incapacité de travail de 40 % au moins pendant une année.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En conséquence, la décision litigieuse du 1er septembre 2004, refusant toute prestation au recourant, ne peut qu'être confirmée. Cependant au vu de l'expertise bidisciplinaire probante, le délai de carence était échu le 31 août 2005, de sorte qu'il incombera à l'intimé de se prononcer, dans une nouvelle décision, sur le droit du recourant à des prestations d'invalidité dès le 1er septembre 2005. b) Au vu de ce qui précède, le recours sera rejeté, la décision litigieuse confirmée et, pour la période postérieure au 1er septembre 2004, la cause sera renvoyée à l'administration afin qu'elle rende une nouvelle décision (cf. dans ce sens ATF 117 V 292 consid. 4).</w:t>
      </w:r>
    </w:p>
    <w:p>
      <w:r>
        <w:t>A/2035/2004 - 29/30 -</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à l'ancien droit, de sorte que la procédure est gratuite. Vu le renvoi à l'intimé pour nouvelle décision, une indemnité de 1'000 fr. sera allouée au recourant, à charge de l'intimé.</w:t>
      </w:r>
    </w:p>
    <w:p>
      <w:r>
        <w:t>A/2035/2004 - 30/30 -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