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ATAS/795/2024 vom 10. Oktober 2024</w:t>
      </w:r>
    </w:p>
    <w:p>
      <w:r>
        <w:t>GE Cour de justice, 2024-10-10, FR</w:t>
      </w:r>
    </w:p>
    <w:p>
      <w:r>
        <w:rPr>
          <w:b/>
        </w:rPr>
        <w:t xml:space="preserve">Quelle: </w:t>
      </w:r>
      <w:r>
        <w:t>https://mcp.opencaselaw.ch/entscheid/ge_gerichte_ATAS_795_2024</w:t>
      </w:r>
    </w:p>
    <w:p>
      <w:r>
        <w:t>FR: GE_GERICHTE ATAS/795/2024 du 10 octobre 2024</w:t>
      </w:r>
    </w:p>
    <w:p>
      <w:r>
        <w:t>IT: GE_GERICHTE ATAS/795/2024 del 10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2.1</w:t>
      </w:r>
    </w:p>
    <w:p>
      <w:r>
        <w:t>À teneur de l'art. 1 al. 1 LAI, les dispositions de la LPGA s'appliquent à l'assurance-invalidité, à moins que la loi n'y déroge expressément.</w:t>
      </w:r>
    </w:p>
    <w:p>
      <w:r>
        <w:rPr>
          <w:b/>
        </w:rPr>
        <w:t>E. 2.2</w:t>
      </w:r>
    </w:p>
    <w:p>
      <w:r>
        <w:t>Le 1er janvier 2022, les modifications de la LAI du 19 juin 2020 (développement continu de l’AI ; RO 2021 705), ainsi que celles du 3 novembre 2021 du règlement sur l’assurance-invalidité du 17 janvier 1961 (RAI - RS 831.201 ; RO 2021 706) sont entrées en vigueur.</w:t>
      </w:r>
    </w:p>
    <w:p>
      <w:r>
        <w:t>A/3389/2023 - 5/9 -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le droit aux prestations est reconnu à compter de mai 2022, de sorte que le nouveau droit s’applique.</w:t>
      </w:r>
    </w:p>
    <w:p>
      <w:r>
        <w:rPr>
          <w:b/>
        </w:rPr>
        <w:t>E. 3</w:t>
      </w:r>
    </w:p>
    <w:p>
      <w:r>
        <w:t>Le recourant est un ressortissant du Portugal, Etat partie à l'Accord du 21 juin 1999 entre la Confédération suisse, d'une part, et la Communauté européenne et ses Etats membres, d'autre part, sur la libre circulation des personnes (ALCP; RS 0.142.112.681). L’assuré a exercé des activités salariées en Suisse et s’est vu reconnaître le droit à une rente de l'assurance-invalidité suisse. Le litige relève ainsi de la coordination européenne des systèmes nationaux de sécurité sociale et se limite à la question de savoir si l’intimé était fondé à statuer avant de procéder au calcul comparatif indispensable à la fixation du montant de la rente allouée au recourant.</w:t>
      </w:r>
    </w:p>
    <w:p>
      <w:r>
        <w:rPr>
          <w:b/>
        </w:rPr>
        <w:t>E. 4.1</w:t>
      </w:r>
    </w:p>
    <w:p>
      <w:r>
        <w:t>Jusqu'au 31 mars 2012, les Parties à l'ALCP appliquaient entre elles le Règlement (CEE) n°1408/71 du Conseil du 14 juin 1971 relatif à l'application des régimes de sécurité sociale aux travailleurs salariés, aux travailleurs non salariés et aux membres de leur famille qui se déplacent à l'intérieur de la Communauté (RO 2004 121; ci-après: le règlement n° 1408/71). Une décision n°1/2012 du Comité mixte du 31 mars 2012 (RO 2012 2345) a actualisé le contenu de l'Annexe II à l'ALCP avec effet au 1er avril 2012. Il a été prévu, en particulier, que les Parties appliqueraient désormais entre elles le Règlement (CE) n°883/2004 du Parlement européen et du Conseil du 29 avril 2004 portant sur la coordination des systèmes de sécurité sociale, modifié par le Règlement (CE) n°988/2009 du Parlement européen et du Conseil du 16 septembre 2009 (ci-après: le règlement n°883/2004; RS 0.831.109.268.1). Le droit du recourant à une rente d'invalidité est en l'espèce né le 1er mai 2022, après l'entrée en vigueur du règlement n°883/2004. Ratione temporis, le cas doit ainsi être tranché à la lumière de ce règlement.</w:t>
      </w:r>
    </w:p>
    <w:p>
      <w:r>
        <w:rPr>
          <w:b/>
        </w:rPr>
        <w:t>E. 4.2</w:t>
      </w:r>
    </w:p>
    <w:p>
      <w:r>
        <w:t>Au préalable, il convient de rappeler qu'avec l'entrée en vigueur simultanée de l'ALCP et du règlement n°1408/71 le 1er juin 2002, la coordination des régimes de sécurité sociale entre la Suisse et le Portugal était passée d'un système de convention dite de type A, à un système de convention dite de type B.</w:t>
      </w:r>
    </w:p>
    <w:p>
      <w:r>
        <w:t>A/3389/2023 - 6/9 - Le premier système était celui dans lequel l'invalide qui en remplit les conditions reçoit une seule rente d'invalidité versée par l'assurance à laquelle il était affilié lors de la survenance de l'invalidité en fonction de la totalité des périodes de cotisations, y compris celles accomplies dans l'autre pays. Tel était le cas de la Convention de sécurité sociale du 11 septembre 1975 entre la Suisse et le Portugal (ci-après: la Convention entre la Suisse et le Portugal; RS 0.831.109.654.1). Le second système était celui dans lequel l'invalide qui a cotisé successivement dans les deux Etats perçoit une rente partielle de chacun des pays concernés calculée au pro rata des périodes d'assurance accomplies.</w:t>
      </w:r>
    </w:p>
    <w:p>
      <w:r>
        <w:rPr>
          <w:b/>
        </w:rPr>
        <w:t>E. 4.3</w:t>
      </w:r>
    </w:p>
    <w:p>
      <w:r>
        <w:t>Sous le titre « relation entre le présent règlement et d'autres instruments de coordination », l'art. 8 par. 1 du règlement n°883/2004 prévoit : «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dans l'annexe II. Il sera précisé également si, pour des raisons objectives, il n'est pas possible d'étendre certaines de ces dispositions à toutes les personnes auxquelles s'applique le présent règlement. » Auparavant, sous le régime du règlement n°1408/71 qui contenait une disposition similaire, le Tribunal fédéral avait retenu que cela n’excluait pas qu'un assuré fût mis au bénéfice d'une disposition plus favorable d'une convention bilatérale de sécurité sociale, pour autant qu'il eût exercé son droit à la libre circulation avant l'entrée en vigueur de l'ALCP (ATF 142 V 112). Ainsi, s’agissant d’un ressortissant portugais résidant en Suisse depuis 1989, au bénéfice d’une rente de l'assurance-invalidité suisse depuis janvier 2009, le Tribunal fédéral a jugé que les périodes de cotisations accomplies par l'assuré au Portugal avant son arrivée en Suisse devaient être prises en compte dans le calcul de sa rente pour autant que cette solution lui fût plus favorable. Notre Haute Cour s’est fondée sur l'ATF 133 V 329 selon lequel il y avait lieu de reprendre le principe de l'application des dispositions plus favorables d'une convention bilatérale de sécurité sociale, tel que dégagé par la jurisprudence de la Cour de justice des Communautés européennes (CJCE; devenue entre-temps la Cour de justice de l'Union européenne [CJUE]; arrêt du 7 février 1991, Rönfeldt, C-227/89, Rec. 1991, p. I-323, précisé par l'arrêt du 9 novembre 1995, Thévenon, C-475/93, Rec. 1995, p. I-3813). Selon la CJCE, l'application du règlement n°1408/71 ne devait pas conduire à la perte des avantages de sécurité sociale résultant de conventions de sécurité sociale en vigueur entre deux ou plusieurs Etats membres et intégrées à leur droit national. Autrement dit, le travailleur qui avait exercé son droit à la libre circulation des personnes ne devait pas être pénalisé du fait des</w:t>
      </w:r>
    </w:p>
    <w:p>
      <w:r>
        <w:t>A/3389/2023 - 7/9 - règlements communautaires par rapport à la situation qui aurait été la sienne si elle avait été régie par la seule législation nationale. La jurisprudence européenne reposait aussi sur l'idée que l'intéressé était en droit, au moment où il avait exercé son droit à la libre circulation, d'avoir une confiance légitime dans le fait qu'il pourrait bénéficier des dispositions de la convention bilatérale (arrêt du 5 février 2002, Kaske, C-277/99, Rec. 2002 p. I-1261, point 27). Le principe selon lequel l'application de la réglementation européenne de coordination ne devait pas entraîner la diminution (ou la perte) des avantages de sécurité sociale prévus par des conventions de sécurité sociale a été développé à partir de l'arrêt Petroni (arrêt de la CJCE du 24 octobre 1975, Petroni, 24/75 Rec. p. 1149; cf. arrêt Rönfeldt précité, point 26). Dans l'ATF 142 V 112, le Tribunal fédéral a relevé que l'art. 8 par. 1 du règlement n°883/2004 reprend le principe de l'application des conventions de sécurité sociale plus favorables (cf. art. 7 par. 2 let. c du règlement n°1408/71), que les dispositions plus favorables de ces conventions doivent figurer à l'annexe II du règlement pour être maintenues en vigueur et que l'annexe II ne contient aucune disposition concernant les relations entre la Suisse et le Portugal. Il a laissé ouverte la question de savoir si la jurisprudence de l'ATF 133 V 329 (cf. consid. 4.3 supra) et la jurisprudence européenne sur laquelle elle se fondait demeuraient applicables sous le régime du règlement n°883/2004. Le Tribunal fédéral a finalement répondu par l’affirmative à cette question dans un arrêt 9C_198/2022 du 30 mai 2023 consid. 5.3.3. Dans cet arrêt, le Tribunal fédéral, constatant que ni l’office intimé, ni la juridiction cantonale n'avaient examiné le point de savoir si le système de la Convention entre la Suisse et le Portugal était plus favorable à l’assuré que le système du règlement n°883/2004 par le biais d’un calcul comparatif fondé sur des informations dont l'obtention ne soulevait guère de difficultés pratiques pour les autorités compétentes suisses – qui pouvaient s'appuyer sur l'entraide administrative prévue dans les relations transfrontalières dans le domaine de la sécurité sociale (art. 7 de l'Arrangement administratif du 24 septembre 1976 fixant les modalités d'application de la Convention de sécurité sociale du 11 septembre 1975 entre la Suisse et le Portugal [RS 0.831.109.654.12]; art. 84 du règlement n° 1408/71; art. 76ss du règlement n°883/2004; art. 2ss du Règlement [CE] n°987/2009 du Parlement européen et du Conseil du 16 septembre 2009 fixant les modalités d'application du règlement n°883/2004 portant sur la coordination des systèmes de sécurité sociale [RS 0.831.109.268.11] ; ATF 142 V 112 consid. 4.5) – a annulé la décision administrative litigieuse et renvoyé la cause à l'administration pour qu'elle complète l'instruction sur ce point et rende une nouvelle décision. Il convient de procéder de même en l’occurrence, la caisse de compensation n’ayant pas mené à son terme l’instruction permettant la fixation de la rente d’invalidité. Il lui appartenait en effet d’effectuer la comparaison avant de rendre la décision litigieuse. A cet égard, on déplorera, à l’instar du recourant, que la</w:t>
      </w:r>
    </w:p>
    <w:p>
      <w:r>
        <w:t>A/3389/2023 - 8/9 - caisse de compensation n’ait jugé bon d’initier la procédure destinée à recueillir les renseignements nécessaires qu’en juillet 2024, soit près de neuf mois après avoir statué, violant ainsi manifestement le principe de célérité applicable en matière d’assurances sociales.</w:t>
      </w:r>
    </w:p>
    <w:p>
      <w:r>
        <w:rPr>
          <w:b/>
        </w:rPr>
        <w:t>E. 5</w:t>
      </w:r>
    </w:p>
    <w:p>
      <w:r>
        <w:t>Eu égard aux considérations qui précèdent, le recours est admis, la décision litigieuse annulée et la cause renvoyée à l’intimé pour instruction complémentaire et nouvelle décision.</w:t>
      </w:r>
    </w:p>
    <w:p>
      <w:r>
        <w:t>***</w:t>
      </w:r>
    </w:p>
    <w:p>
      <w:r>
        <w:t>A/3389/2023 - 9/9 -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