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ATAS/795/2020 vom 22. September 2020</w:t>
      </w:r>
    </w:p>
    <w:p>
      <w:r>
        <w:t>GE Cour de justice, 2020-09-22, FR</w:t>
      </w:r>
    </w:p>
    <w:p>
      <w:r>
        <w:rPr>
          <w:b/>
        </w:rPr>
        <w:t xml:space="preserve">Quelle: </w:t>
      </w:r>
      <w:r>
        <w:t>https://mcp.opencaselaw.ch/entscheid/ge_gerichte_ATAS_795_2020</w:t>
      </w:r>
    </w:p>
    <w:p>
      <w:r>
        <w:t>FR: GE_GERICHTE ATAS/795/2020 du 22 septembre 2020</w:t>
      </w:r>
    </w:p>
    <w:p>
      <w:r>
        <w:t>IT: GE_GERICHTE ATAS/795/2020 del 22 settembre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l’assurance-chômage obligatoire et à l’indemnité en cas d’insolvabilité, à moins que la loi n’y déroge expressément.</w:t>
      </w:r>
    </w:p>
    <w:p>
      <w:r>
        <w:rPr>
          <w:b/>
        </w:rPr>
        <w:t>E. 3</w:t>
      </w:r>
    </w:p>
    <w:p>
      <w:r>
        <w:t>Interjeté dans les forme et délai prévus par la loi, le recours est recevable (art. 56ss LPGA).</w:t>
      </w:r>
    </w:p>
    <w:p>
      <w:r>
        <w:rPr>
          <w:b/>
        </w:rPr>
        <w:t>E. 4</w:t>
      </w:r>
    </w:p>
    <w:p>
      <w:r>
        <w:t>Le litige porte sur le droit du recourant à des indemnités de chômage dès le 1er octobre 2019.</w:t>
      </w:r>
    </w:p>
    <w:p>
      <w:r>
        <w:rPr>
          <w:b/>
        </w:rPr>
        <w:t>E. 5</w:t>
      </w:r>
    </w:p>
    <w:p>
      <w:r>
        <w:t>En vertu de l’art. 8 al. 1 LACI, l’assuré a droit à l’indemnité de chômage s’il est sans emploi ou partiellement sans emploi (let. a) ; s’il a subi une perte de travail à prendre en considération (let. b) ; s’il est domicilié en Suisse (let. c) ; s’il a achevé sa scolarité obligatoire, s’il n’a pas encore atteint l’âge donnant droit à une rente AVS et ne touche pas de rente de vieillesse de l’AVS (let. d) ; s’il remplit les conditions relatives à la période de cotisation ou en est libéré (let. e) ; s’il est apte au placement (let. f) et s’il satisfait aux exigences du contrôle (let. g). Ces conditions sont cumulatives (ATF 124 V 215 consid. 2).</w:t>
      </w:r>
    </w:p>
    <w:p>
      <w:r>
        <w:rPr>
          <w:b/>
        </w:rPr>
        <w:t>E. 6</w:t>
      </w:r>
    </w:p>
    <w:p>
      <w:r>
        <w:t>a.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w:t>
      </w:r>
    </w:p>
    <w:p>
      <w:r>
        <w:t>A/712/2020 - 5/8 -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b.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Il en va de même pour les membres de la direction d’une association (arrêt précité consid. 3.2).</w:t>
      </w:r>
    </w:p>
    <w:p>
      <w:r>
        <w:rPr>
          <w:b/>
        </w:rPr>
        <w:t>E. 7</w:t>
      </w:r>
    </w:p>
    <w:p>
      <w:r>
        <w:t>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w:t>
      </w:r>
    </w:p>
    <w:p>
      <w:r>
        <w:rPr>
          <w:b/>
        </w:rPr>
        <w:t>E. 8</w:t>
      </w:r>
    </w:p>
    <w:p>
      <w:r>
        <w:t>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w:t>
      </w:r>
    </w:p>
    <w:p>
      <w:r>
        <w:t>A/712/2020 - 6/8 -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w:t>
      </w:r>
    </w:p>
    <w:p>
      <w:r>
        <w:rPr>
          <w:b/>
        </w:rPr>
        <w:t>E. 9</w:t>
      </w:r>
    </w:p>
    <w:p>
      <w:r>
        <w:t>Dans l’hypothèse où le chômeur occupe lui-même une position décisionnelle dans l’entreprise,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w:t>
      </w:r>
    </w:p>
    <w:p>
      <w:r>
        <w:rPr>
          <w:b/>
        </w:rPr>
        <w:t>E. 10</w:t>
      </w:r>
    </w:p>
    <w:p>
      <w:r>
        <w:t>Il en va de même, dans une société à responsabilité limitée, des associés, respectivement des associés-gérants lorsqu’il en a été désigné, lesquels occupent collectivement une position comparable à celle du conseil d’administration d’une société anonyme (cf. art. 809 al. 1 CO ; arrêt du Tribunal fédéral 8C_776/2011 du</w:t>
      </w:r>
    </w:p>
    <w:p>
      <w:r>
        <w:rPr>
          <w:b/>
        </w:rPr>
        <w:t>E. 14</w:t>
      </w:r>
    </w:p>
    <w:p>
      <w:r>
        <w:t>Au vu de l’ensemble de ces circonstances, le risque que l’art. 31 al. 3 let. c LACI soit détourné existait au moment de la demande de prestations.</w:t>
      </w:r>
    </w:p>
    <w:p>
      <w:r>
        <w:rPr>
          <w:b/>
        </w:rPr>
        <w:t>E. 15</w:t>
      </w:r>
    </w:p>
    <w:p>
      <w:r>
        <w:t>Ce seul risque était dès lors suffisant pour nier au recourant tout droit à des indemnités de chômage.</w:t>
      </w:r>
    </w:p>
    <w:p>
      <w:r>
        <w:rPr>
          <w:b/>
        </w:rPr>
        <w:t>E. 16</w:t>
      </w:r>
    </w:p>
    <w:p>
      <w:r>
        <w:t>Partant le recours, mal fondé, est rejeté.</w:t>
      </w:r>
    </w:p>
    <w:p>
      <w:r>
        <w:rPr>
          <w:b/>
        </w:rPr>
        <w:t>E. 17</w:t>
      </w:r>
    </w:p>
    <w:p>
      <w:r>
        <w:t>Pour le surplus, la procédure est gratuite (art. 61 let. a LPGA). * * * * * *</w:t>
      </w:r>
    </w:p>
    <w:p>
      <w:r>
        <w:t>A/712/2020 - 8/8 -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