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ATAS/795/2016 vom 4. Oktober 2016</w:t>
      </w:r>
    </w:p>
    <w:p>
      <w:r>
        <w:t>GE Cour de justice, 2016-10-04, FR</w:t>
      </w:r>
    </w:p>
    <w:p>
      <w:r>
        <w:rPr>
          <w:b/>
        </w:rPr>
        <w:t xml:space="preserve">Quelle: </w:t>
      </w:r>
      <w:r>
        <w:t>https://mcp.opencaselaw.ch/entscheid/ge_gerichte_ATAS_795_2016</w:t>
      </w:r>
    </w:p>
    <w:p>
      <w:r>
        <w:t>FR: GE_GERICHTE ATAS/795/2016 du 4 octobre 2016</w:t>
      </w:r>
    </w:p>
    <w:p>
      <w:r>
        <w:t>IT: GE_GERICHTE ATAS/795/2016 del 4 ottobre 2016</w:t>
      </w:r>
    </w:p>
    <w:p>
      <w:pPr>
        <w:pStyle w:val="Heading2"/>
      </w:pPr>
      <w:r>
        <w:t>Erwägungen</w:t>
      </w:r>
    </w:p>
    <w:p>
      <w:r>
        <w:rPr>
          <w:b/>
        </w:rPr>
        <w:t>E. 13</w:t>
      </w:r>
    </w:p>
    <w:p>
      <w:r>
        <w:t>Interrogé par la chambre de céans, le docteur C______ a, le 22 juillet 2016, indiqué qu’il suivait l’assuré de manière régulière depuis fin 2013, qu’il était à ce moment- là en décompensation totale, de sorte qu’il l’avait rapidement mis en arrêt de travail. Il confirme avoir considéré que l’assuré était depuis février 2014 incapable de travailler à 100 %. Il précise que lorsqu’il a rédigé son rapport du 19 septembre 2014, l’assuré aurait pu reprendre son travail à 80 %, que sa capacité s’était toutefois vite détériorée par épuisement physique et psychique. Il ajoute à cet égard que son courrier adressé à l’OAI le 10 novembre 2014 résume la situation. Il relève que « cette période où l’on aurait pu imaginer que le patient reprenne une activité professionnelle a duré très peu de temps, le patient s’enfonçant physiquement et psychiquement dans une dépression et un burn out incompatible avec la reprise d’une activité professionnelle. Cependant, le patient est capable intellectuellement de fournir un travail qu’il a toujours fait, soit d’informaticien, mais son handicap physique le limite fortement. » Le Dr C______ a par ailleurs déclaré que « à ma dernière consultation du 12 avril 2016, il est toujours dans une situation de détresse, de précarité importante et de dépression qui empêche toute activité. Je note donc l’incapacité à 100 % de ce patient d’une part physique, car il est au bout de ce qu’il peut faire, et d’autre psychique découlant de la première. »</w:t>
      </w:r>
    </w:p>
    <w:p>
      <w:r>
        <w:rPr>
          <w:b/>
        </w:rPr>
        <w:t>E. 14</w:t>
      </w:r>
    </w:p>
    <w:p>
      <w:r>
        <w:t>Le 23 septembre 2016, l’OAI, se fondant sur l’avis établi par le SMR le 23 septembre 2016, a maintenu ses conclusions.</w:t>
      </w:r>
    </w:p>
    <w:p>
      <w:r>
        <w:rPr>
          <w:b/>
        </w:rPr>
        <w:t>E. 15</w:t>
      </w:r>
    </w:p>
    <w:p>
      <w:r>
        <w:t>Ce courrier a été adressé à l’assuré et la cause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w:t>
      </w:r>
    </w:p>
    <w:p>
      <w:r>
        <w:t>A/1080/2016 - 5/10 - 3. Interjeté dans les forme et délai prévus par la loi (art. 56ss LPGA), le présent recours est recevable. 4. Le litige porte sur le droit de l’assuré à des prestations AI. 5. 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w:t>
      </w:r>
    </w:p>
    <w:p>
      <w:r>
        <w:t>A/1080/2016 - 6/10 -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A/1080/2016 - 7/10 - Aux termes de l’art. 28 al. 1 LAI : « L’assuré a droit à une rente aux conditions suivantes: a. sa capacité de gain ou sa capacité d’accomplir ses travaux habituels ne peut pas être rétablie, maintenue ou améliorée par des mesures de réadaptations raisonnablement exigibles; b. il a présenté une incapacité de travail (art. 6 LPGA162) d’au moins 40 % en moyenne durant une année sans interruption notable; c. au terme de cette année, il est invalide (art. 8 LPGA) à 40 % au moins ».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il n’est pas contesté que sur le plan somatique, l’assuré souffre d’une malformation congénitale, spina bifida avec multiples problèmes neurologiques, et présente une capacité de travail entière dans une activité respectant les limitations fonctionnelles, soit dans une activité sédentaire et assise, sans port de charges,</w:t>
      </w:r>
    </w:p>
    <w:p>
      <w:r>
        <w:t>A/1080/2016 - 8/10 - permettant l’alternance des positions, et dans laquelle un poste à proximité des toilettes est privilégié, étant précisé que l’activité habituelle respecte ces limitations fonctionnelles. Sur le plan psychiatrique, le Dr C______ a retenu le diagnostic d’état dépressif réactionnel et fait état d’un épuisement progressif en relation directe avec sa condition physique. Dans un premier temps, il a évalué l’incapacité de travail à 100% depuis le 1er décembre 2014. Le 18 septembre 2014, il a informé l’OAI que son patient allait mieux et qu’il était capable de travailler dorénavant à 60 ou 80% dans son activité d’informaticien ou dans toute autre activité adaptée à ses limitations fonctionnelles. Le 10 novembre 2014, le médecin a précisé que même si l’état dépressif semblait s’être amélioré, « il n’en reste pas moins que le patient souffre d’une faiblesse généralisée et que je ne le vois pas reprendre son travail dans les conditions actuelles ». Il a indiqué le 17 avril 2015 que l’état de santé de son patient s’était amélioré grâce à un meilleur moral et à des séances de physiothérapie. La capacité de travail est entière dans une activité adaptée (pas de port de charges et pas de déplacements). Sur cette base, l’OAI a considéré que l’assuré était incapable de travailler à 100% du 1er février au 30 août 2014, et à 40% du 1er septembre au 31 décembre 2014, et qu’il avait retrouvé une capacité de travail entière dès le 1er janvier 2015. La chambre de céans a toutefois constaté que le Dr C______ avait délivré à l’assuré des certificats d’incapacité entière de travail de janvier à mai 2015. Invité à préciser ce qu’il en était, le Dr C______ a expliqué, par courrier du 22 juillet 2016, que la période durant laquelle « on aurait pu imaginer que le patient reprenne une activité professionnelle » avait en réalité duré peu de temps, celui-ci « s’enfonçant physiquement et psychiquement dans une dépression et un burn-out incompatible avec la reprise d’une activité professionnelle. ». Le médecin conclut, de manière quelque peu contradictoire, que l’assuré peut exercer son activité antérieure intellectuellement, mais est fortement limité par son handicap physique. Or, il a déjà été relevé que l’activité antérieure respectait précisément les limitations fonctionnelles. Aucune aggravation de l’état de santé physique n’est par ailleurs alléguée. Le médecin fait enfin état d’une grande précarité, laquelle ne peut être prise en considération dans le cadre du présent litige. On ne saurait en effet parler d’invalidité au sens de l’AI que si l’incapacité de gain ou l’impossibilité d’accomplir ses travaux habituels résulte d’une atteinte à la santé physique, mentale ou psychique. Autrement dit, il faut qu’il existe un lien de causalité entre ces deux éléments. Il n’y a pas de lien de causalité, et l’on n’est pas en présence d’un cas d’invalidité, lorsque l’incapacité de gain n’a pas été provoquée par une atteinte à la santé mais par d’autres facteurs, notamment par la situation économique (RCC 1989 p. 322).</w:t>
      </w:r>
    </w:p>
    <w:p>
      <w:r>
        <w:t>A/1080/2016 - 9/10 - Force dès lors est de retenir les taux d’incapacité de travail auxquels a conclu l’OAI et de constater, partant, que l’assuré a présenté une incapacité de travail d’au moins 40% en moyenne, de 11 mois seulement, de février à août 2014 à 100% et de septembre à décembre 2014 à 40%, soit une durée insuffisante au sens de l’art. 28 al.1 LAI, pour ouvrir le droit à une rente d’invalidité. Aussi le recours ne peut-il être que rejeté.</w:t>
      </w:r>
    </w:p>
    <w:p>
      <w:r>
        <w:t>A/1080/2016 - 10/10 - 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