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ATAS/794/2017 vom 14. September 2017</w:t>
      </w:r>
    </w:p>
    <w:p>
      <w:r>
        <w:t>GE Cour de justice, 2017-09-14, FR</w:t>
      </w:r>
    </w:p>
    <w:p>
      <w:r>
        <w:rPr>
          <w:b/>
        </w:rPr>
        <w:t xml:space="preserve">Quelle: </w:t>
      </w:r>
      <w:r>
        <w:t>https://mcp.opencaselaw.ch/entscheid/ge_gerichte_ATAS_794_2017</w:t>
      </w:r>
    </w:p>
    <w:p>
      <w:r>
        <w:t>FR: GE_GERICHTE ATAS/794/2017 du 14 septembre 2017</w:t>
      </w:r>
    </w:p>
    <w:p>
      <w:r>
        <w:t>IT: GE_GERICHTE ATAS/794/2017 del 14 settembre 2017</w:t>
      </w:r>
    </w:p>
    <w:p>
      <w:pPr>
        <w:pStyle w:val="Heading2"/>
      </w:pPr>
      <w:r>
        <w:t>Erwägungen</w:t>
      </w:r>
    </w:p>
    <w:p>
      <w:r>
        <w:rPr>
          <w:b/>
        </w:rPr>
        <w:t>E. 9</w:t>
      </w:r>
    </w:p>
    <w:p>
      <w:r>
        <w:t>Reste à évaluer la perte de gain du recourant dans une activité adaptée, dès lors qu’il doit changer d’activité.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A/2155/2017 - 13/16 -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A/2155/2017 - 14/16 -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10</w:t>
      </w:r>
    </w:p>
    <w:p>
      <w:r>
        <w:t>En l’occurrence, l'intimé s'est fondé pour le salaire avec invalidité sur l'ESS 2014, TA1, niveau 1 pour les hommes. Après avoir réactualisé ce salaire à 2015 et pris en considération la durée normale hebdomadaire de travail de 41,7 heures, il a établi ce salaire à CHF 66'633. Il a toutefois admis un abattement de ce salaire de 10% pour tenir compte des limitations fonctionnelles, de sorte que le salaire avec invalidité s'élève à CHF 59'969.-. Ce calcul est en principe conforme à la jurisprudence précitée. Comparé au salaire sans invalidité de CHF 61'100.-, la perte de gain est ainsi de 1,9%. Certes, il se pose la question de savoir s'il est conforme au droit de se fonder sur un salaire d'invalide supérieur, avant l'abattement de 10%, au salaire de valide. Toutefois, même en considérant que les salaires avec et sans invalidité à prendre en considération sont identiques, il appert que le recourant ne présente pas une perte de gain lui ouvrant le droit à une rente. En effet, seul un abattement de 10 % en raison des limitations fonctionnelles peut être admis à titre de réduction des salaires statistiques retenus pour le gain avec invalidité, si bien que la perte de gain est au maximum de 10%. La perte de gain étant inférieure à 40%, elle n'ouvre pas le droit à une rente.</w:t>
      </w:r>
    </w:p>
    <w:p>
      <w:r>
        <w:rPr>
          <w:b/>
        </w:rPr>
        <w:t>E. 11</w:t>
      </w:r>
    </w:p>
    <w:p>
      <w:r>
        <w:t>a.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 b. Dès lors que le recourant a déposé sa demande de prestations de l’assurance- invalidité en avril 2015, le droit à la rente naît en l’espèce en octobre 2015. A cette date, le recourant était totalement incapable de travailler depuis octobre 2014, soit depuis une année, et ceci jusqu’au 1er mars 2016. Par la suite, son état de santé s’est amélioré et il a récupéré une capacité de travail à 100 % dès fin février 2016. Cette amélioration est à prendre en considération après une durée de trois mois (art. 88a al. 1 du règlement du 17 janvier 1961 sur l’assurance-invalidité du 17 janvier 1961 - RAI - RS 831.201). Cela étant, le recourant a droit à une rente entière à partir d’octobre 2015 jusqu'en mai 2016.</w:t>
      </w:r>
    </w:p>
    <w:p>
      <w:r>
        <w:t>A/2155/2017 - 15/16 -</w:t>
      </w:r>
    </w:p>
    <w:p>
      <w:r>
        <w:rPr>
          <w:b/>
        </w:rPr>
        <w:t>E. 12</w:t>
      </w:r>
    </w:p>
    <w:p>
      <w:r>
        <w:t>Cela étant, le recours sera partiellement admis et la décision querellée réformée dans le sens que le recourant à droit à une rente d’invalidité entière d’octobre 2015 à mai 2016.</w:t>
      </w:r>
    </w:p>
    <w:p>
      <w:r>
        <w:rPr>
          <w:b/>
        </w:rPr>
        <w:t>E. 13</w:t>
      </w:r>
    </w:p>
    <w:p>
      <w:r>
        <w:t>Jusqu'au 29 août 2017, le recourant était représenté par un conseil. Par conséquent, dès lors qu'il obtient partiellement gain de cause, une indemnité de CHF 500.- lui est octroyée à titre de dépens.</w:t>
      </w:r>
    </w:p>
    <w:p>
      <w:r>
        <w:rPr>
          <w:b/>
        </w:rPr>
        <w:t>E. 14</w:t>
      </w:r>
    </w:p>
    <w:p>
      <w:r>
        <w:t>Dans la mesure où l’intimé succombe en partie, un émolument de CHF 200.- est mis à sa charge.</w:t>
      </w:r>
    </w:p>
    <w:p>
      <w:r>
        <w:t>***</w:t>
      </w:r>
    </w:p>
    <w:p>
      <w:r>
        <w:t>A/2155/2017 - 16/16 -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