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ATAS/794/2014 vom 27. Juni 2014</w:t>
      </w:r>
    </w:p>
    <w:p>
      <w:r>
        <w:t>GE Cour de justice, 2014-06-27, FR</w:t>
      </w:r>
    </w:p>
    <w:p>
      <w:r>
        <w:rPr>
          <w:b/>
        </w:rPr>
        <w:t xml:space="preserve">Quelle: </w:t>
      </w:r>
      <w:r>
        <w:t>https://mcp.opencaselaw.ch/entscheid/ge_gerichte_ATAS_794_2014</w:t>
      </w:r>
    </w:p>
    <w:p>
      <w:r>
        <w:t>FR: GE_GERICHTE ATAS/794/2014 du 27 juin 2014</w:t>
      </w:r>
    </w:p>
    <w:p>
      <w:r>
        <w:t>IT: GE_GERICHTE ATAS/794/2014 del 27 giugno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35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w:t>
      </w:r>
    </w:p>
    <w:p>
      <w:r>
        <w:t>A/776/2014 - 4/6 -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w:t>
      </w:r>
    </w:p>
    <w:p>
      <w:r>
        <w:rPr>
          <w:b/>
        </w:rPr>
        <w:t>E. 6</w:t>
      </w:r>
    </w:p>
    <w:p>
      <w:r>
        <w:t>En l’espèce, le recourant affirme avoir dûment postulé pour l’emploi assigné par l’intimé. Il a d’ailleurs produit copie du courrier adressé à l’employeur et daté du</w:t>
      </w:r>
    </w:p>
    <w:p>
      <w:r>
        <w:rPr>
          <w:b/>
        </w:rPr>
        <w:t>E. 7</w:t>
      </w:r>
    </w:p>
    <w:p>
      <w:r>
        <w:t>août 2013 (le délai pour postuler venant à échéance le 9 août). Force est cependant de constater que ce courrier, aux dires de l’employeur, n’est jamais parvenu à celui-ci, et que le recourant ne peut prouver avoir expédié la missive en question, celle-ci ayant été envoyée sous pli simple.</w:t>
      </w:r>
    </w:p>
    <w:p>
      <w:r>
        <w:t>A/776/2014 - 5/6 - C’est le lieu de rappeler qu’en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 l’espèce, ce principe a pour conséquence que le recourant supporte les conséquences de l'absence de preuve de l’envoi de sa postulation. En conséquence, il y a lieu de retenir qu’il n’a pas fait acte de candidature auprès de l’employeur qui lui avait été désigné, qu’il a ainsi fait échouer une possibilité d’emploi et a donc commis une faute que la jurisprudence considère comme grave. Dès lors, la suspension du droit à l’indemnité prononcée par l’autorité intimée ne peut qu'être confirmée. Néanmoins, compte tenu des circonstances, la Cour de céans est d’avis qu’il se justifie de réduire la durée de la sanction au minimum prévu pour ce cas de figure, soit 31 jours. En ce sens, le recours est partiellement admis.</w:t>
      </w:r>
    </w:p>
    <w:p>
      <w:r>
        <w:t>A/776/2014 - 6/6 -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