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ATAS/793/2019 vom 4. September 2019</w:t>
      </w:r>
    </w:p>
    <w:p>
      <w:r>
        <w:t>GE Cour de justice, 2019-09-04, FR</w:t>
      </w:r>
    </w:p>
    <w:p>
      <w:r>
        <w:rPr>
          <w:b/>
        </w:rPr>
        <w:t xml:space="preserve">Quelle: </w:t>
      </w:r>
      <w:r>
        <w:t>https://mcp.opencaselaw.ch/entscheid/ge_gerichte_ATAS_793_2019</w:t>
      </w:r>
    </w:p>
    <w:p>
      <w:r>
        <w:t>FR: GE_GERICHTE ATAS/793/2019 du 4 septembre 2019</w:t>
      </w:r>
    </w:p>
    <w:p>
      <w:r>
        <w:t>IT: GE_GERICHTE ATAS/793/2019 del 4 settembre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18 décembre au 2 janvier inclusivement, le recours est recevable (art. 38 al. 4 let. c, 56 et 60 LPGA; art. 89B et 89C let. c de la loi sur la procédure administrative du 12 septembre 1985 - [LPA-GE - E 5 10]).</w:t>
      </w:r>
    </w:p>
    <w:p>
      <w:r>
        <w:rPr>
          <w:b/>
        </w:rPr>
        <w:t>E. 4</w:t>
      </w:r>
    </w:p>
    <w:p>
      <w:r>
        <w:t>Le litige porte sur le droit du recourant à une rente d’invalidité et à des mesures d’ordre professionnel.</w:t>
      </w:r>
    </w:p>
    <w:p>
      <w:r>
        <w:rPr>
          <w:b/>
        </w:rPr>
        <w:t>E. 5</w:t>
      </w:r>
    </w:p>
    <w:p>
      <w:r>
        <w:t>L’assuré a droit à une rente lorsqu’il a présenté une incapacité de travail (art. 6 LPGA) d’au moins 40% en moyenne durant une année sans interruption notable et qu’au terme de cette année, il est invalide (art.8 LPGA) à 40% au moins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A/441/2019 - 8/17 - En vertu de l’art. 29 al. 1 LAI, le droit à la rente prend naissance au plus tôt à l’échéance d’une période de six mois à compter de la date à laquelle l’assuré a fait valoir son droit aux prestations conformément à l’art. 29 al. 1 LPGA, mais pas avant le mois qui suit le dix-huitième anniversaire de l’assuré.</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Dans ce cas, il convient de se fonder, en règle générale, sur les salaires mensuels indiqués dans la table ESS TA1, à la ligne «total secteur privé» (ATF 124 V 321 consid. 3b/aa). On se réfère</w:t>
      </w:r>
    </w:p>
    <w:p>
      <w:r>
        <w:t>A/441/2019 - 9/17 -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La réduction des salaires ressortant des statistiques ressortit en premier lieu à l'office AI, qui dispose pour cela d'un large pouvoir d'appréciation. Cela étant, le juge doit faire preuve de retenue lorsqu'il est amené à vérifier le bien-fondé d'une telle appréciation. Il ne peut, sans motif pertinent, substituer son appréciation à celle de l'administration, mais doit s'appuyer sur des circonstances de nature à faire apparaître sa propre appréciation comme la mieux appropriée (ATF 126 V 75 consid. 6 ; ATF 123 V 150 consid. 2 et les références).</w:t>
      </w:r>
    </w:p>
    <w:p>
      <w:r>
        <w:rPr>
          <w:b/>
        </w:rPr>
        <w:t>E. 7</w:t>
      </w:r>
    </w:p>
    <w:p>
      <w:r>
        <w:t>Selon la jurisprudence, l'art. 17 LPGA concernant la révision d'une rente en cours s'applique également à la décision par laquelle une rente échelonnée dans le temps est accordée avec effet rétroactif, la date de la modification étant déterminée conformément à l'art. 88a RAI (ATF 131 V 164 consid. 2.2; ATF 125 V 413 consid. 2d; arrêt du Tribunal fédéral 9C_900/2013 du 8 avril 2014 consid. 6.2 et les références). Selon cette disposition réglementaire (al. 1), si la capacité de gain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A/441/2019 - 10/17 -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A/441/2019 - 11/17 -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la décision attaquée, fondée sur le rapport de la CRR et ceux du Dr C______, retient que l’assuré ne peut plus travailler comme mécanicien, mais qu’il est pleinement capable, depuis le 15 décembre 2017, d’exercer toute activité adaptée à ses limitations fonctionnelles. De son côté, le recourant conteste la valeur probante du rapport du Dr C______. Compte tenu des limitations fonctionnelles affectant sa main droite et de son manque de formation, il estime que ses perspectives de réinsertion professionnelle sont nulles, en particulier dans une profession physique ou manuelle. En outre, le recourant estime que le taux d’abattement – 10% – retenu par l’intimé pour chiffrer son revenu d’invalide est insuffisant.</w:t>
      </w:r>
    </w:p>
    <w:p>
      <w:r>
        <w:rPr>
          <w:b/>
        </w:rPr>
        <w:t>E. 11</w:t>
      </w:r>
    </w:p>
    <w:p>
      <w:r>
        <w:t>Il sied de se prononcer sur la capacité de travail du recourant et pour ce faire, d’examiner la valeur probante des rapports versés au dossier. a. La chambre de céans constate que les rapports de la CRR et du Dr C______ se rejoignent, en ce sens qu’ils parviennent à la conclusion unanime que le recourant pourrait exercer une activité professionnelle adaptée à ses limitations. Ces rapports ont été établis en pleine connaissance du dossier, relatent les plaintes de l’intéressé, reposent sur des examens cliniques complets et leurs conclusions sont motivées, de sorte qu’ils satisfont aux réquisits jurisprudentiels en matière de valeur probante (ATF 125 V 351 consid. 3b/bb). Plus particulièrement, il ressort du rapport de la CRR que l’assuré peut fournir un niveau d’effort moyen avec ses mains, mais sous-estime ses aptitudes, puisqu’il se considère seulement capable d’effectuer des activités légères. Selon les médecins de la CRR, il est inapte à reprendre son ancienne activité de mécanicien automobile, mais pourrait exercer à 100% une profession adaptée, lui permettant d’éviter le port répété de charges supérieures à 15-20 kg, ainsi que les activités nécessitant de la force – telles que le serrage, le desserrage, la préhension « à pleine main » – ou de l’endurance avec la main droite. Les médecins de la CRR ont précisé que la situation médicale n’était pas encore stabilisée à la date de leur rapport, le 23 mars 2018, mais qu’elle devait l’être environ une année après la dernière intervention chirurgicale, c’est-à-dire le 15 août 2018 environ. Pour sa part, le Dr C______ a également estimé, dans son rapport du 20 septembre 2018, que l’exercice d’une profession respectant les limitations fonctionnelles énumérées par la CRR était exigible à plein temps, tout en précisant que la mobilité de l’index droit s’était améliorée, bien qu’il subsistait une limitation modérée de la flexion de l’articulation interphalangienne proximale. Il a par ailleurs jugé l’état clinique suffisamment stabilisé pour se prononcer sur le dossier.</w:t>
      </w:r>
    </w:p>
    <w:p>
      <w:r>
        <w:t>A/441/2019 - 12/17 - b. À l’exception du Dr J______, les avis émis par les médecins de l’assuré ne s’écartent pas fondamentalement de ceux de la CRR et du Dr C______. En effet, la Dresse B______ s’est prononcée en faveur d’une reprise progressive du travail, d’abord à 50%. De son côté, le Dr F______ a préconisé un reclassement professionnel dès l’été 2018, ce qui suppose l’existence d’une capacité résiduelle de travail dans une activité adaptée. Enfin, le Dr J______ a estimé, dans une brève attestation produite à l’appui du recours, que l’assuré ne pouvait pas exercer un « travail normal » en raison de ses douleurs de la main droite. Toutefois, cet avis isolé ne satisfait pas aux réquisits jurisprudentiels qui permettraient de lui reconnaître une valeur probante, à défaut d’anamnèse, de status clinique et de motivation circonstanciée. De surcroît, le Dr J______ n’a mis en évidence aucun élément pertinent et objectivement vérifiable qui n’aurait déjà été pris en considération par les médecins de la CRR et le Dr C______. En particulier, contrairement à ce que fait valoir le recourant, les médecins de la CRR et le Dr C______ ont bel et bien tenu compte des douleurs dont il se plaignait. c. Pour le reste, le fait que le recourant ait déploré des douleurs durant ses stages n’est pas déterminant dès lors que c’est l'avis du médecin qui prime pour déterminer sa capacité de travail (arrêt du Tribunal fédéral des assurances I 531/04 du 11 juillet 2005, consid. 4.2). Au demeurant, on relèvera que le stage accompli chez I______ l’a été avant la stabilisation de son état de santé, tandis que celui effectué chez H______ était partiellement incompatible avec ses limitations fonctionnelles, puisqu’il impliquait de nombreux mouvements de préhension avec la main droite. d. En conclusion, la chambre de céans se rallie aux conclusions de la CRR et du Dr C______, qui convergent pour l’essentiel avec celles des médecins du recourant. Elle retiendra donc qu’il est établi, au degré de la vraisemblance prépondérante, une capacité de travail nulle dans l’activité de mécanicien ou toute autre profession dès le 16 juin 2016. Dès le 15 décembre 2017, l’intimé a retenu que l’assuré avait recouvré une pleine capacité de travail dans toute activité adaptée, en se fondant sur un rapport établi le même jour par le Dr C______. Toutefois, contrairement à ce qu’a considéré l’intimé, il ne ressort pas dudit rapport – lequel se limitait à préconiser un séjour à la CRR – qu’au 15 décembre 2017, le recourant aurait déjà été pleinement apte au travail. En effet, selon le rapport de la CRR, auquel le Dr C______ s’est rallié dans un rapport subséquent du 20 septembre 2018, ce n’est qu’environ une année après la dernière intervention chirurgicale, soit dès le 15 août 2018, que l’état de santé du recourant pouvait être considéré comme stabilisé et qu’une pleine capacité de travail pouvait lui être reconnue dans toute activité adaptée.</w:t>
      </w:r>
    </w:p>
    <w:p>
      <w:r>
        <w:rPr>
          <w:b/>
        </w:rPr>
        <w:t>E. 12</w:t>
      </w:r>
    </w:p>
    <w:p>
      <w:r>
        <w:t>Le recourant nie qu’il existe une profession physique ou manuelle adaptée à ses problèmes de santé, compte tenu de ses limitations fonctionnelles et de son manque de formation.</w:t>
      </w:r>
    </w:p>
    <w:p>
      <w:r>
        <w:t>A/441/2019 - 13/17 - a. Selon la jurisprudence, lors de l'examen de la mise en valeur de la capacité de travail résiduelle, on ne saurait se fonder sur des possibilités de travail irréalistes. Ainsi, on ne peut parler d'une activité exigible au sens de l'art. 16 LPGA (auquel renvoie l'art. 28 al. 2 LAI),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 du Tribunal fédéral 9C_1035/2009 du 22 juin 2010 consid. 4.2.4 et les références citées). Toutefois, dans le cas particulier, les limitations fonctionnelles ne sont pas d’une ampleur telle qu’elles contraindraient le recourant à rechercher une activité n’existant pratiquement pas sur le marché du travail. Au contraire, il convient d’admettre qu’il existe sur le marché du travail un éventail suffisamment large d'activités simples et légères, ne nécessitant aucune formation particulière, dont un certain nombre sont adaptées à son handicap de la main droite (arrêts du Tribunal fédéral 8C_298/2017 du 2 août 2018 consid. 4 et 8C_471/2017 du 16 avril 2018 consid. 4.3). À ce propos, il convient de relever que le recourant n'est pas dans la situation d'une personne entièrement privée de l'usage d'une main. Il devrait être en mesure d’exercer une activité légère, ne sollicitant pas excessivement sa main droite en terme de force et de manutention de charges. Du reste, le service de réadaptation de l’AI a cité plusieurs exemples de professions adaptées à son handicap (dépanneur automobile, expert automobile et gestionnaire de stock dans un garage, sans port régulier de charges), tandis que le recourant a lui-même identifié celle de conducteur de train. Au demeurant, on rappellera qu'il n'y a pas lieu d'examiner dans quelle mesure la situation concrète du marché du travail permettrait au recourant de retrouver un emploi (ATF 134 V 64 consid. 4.2.1 ; ATF 110 V 273 consid. 4b ; arrêt du Tribunal fédéral 8C_926/2011 consid. 2.3). b. S’agissant du manque de formation invoqué, c’est le lieu de rappeler que si des facteurs tels que le manque de formation, l'âge, ou les difficultés linguistiques jouent un rôle non négligeable pour déterminer dans un cas donné les activités que l'on peut encore raisonnablement exiger d'un assuré, ils ne constituent pas, selon la jurisprudence,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 arrêt du Tribunal fédéral des assurances I 377/98 du 28 juillet 1999 consid. 1 et les références). Partant, le grief tiré d’une absence de perspectives professionnelles et d’un manque de formation doit être écarté.</w:t>
      </w:r>
    </w:p>
    <w:p>
      <w:r>
        <w:rPr>
          <w:b/>
        </w:rPr>
        <w:t>E. 13</w:t>
      </w:r>
    </w:p>
    <w:p>
      <w:r>
        <w:t>À ce stade, il convient de déterminer le degré d’invalidité, partant de se prononcer sur le droit à une rente d’invalidité.</w:t>
      </w:r>
    </w:p>
    <w:p>
      <w:r>
        <w:t>A/441/2019 - 14/17 - a. Du 16 juin 2016 au 14 août 2018 l’assuré a présenté une capacité de travail nulle dans toute profession. Il en découle un degré d’invalidité de 100 %, qui lui ouvre le droit à une rente d’invalidité dès le 1er janvier 2018, six mois après le dépôt de sa demande (art. 28 al. 1 et 29 LAI; arrêt du Tribunal fédéral 9C_238/2019 du</w:t>
      </w:r>
    </w:p>
    <w:p>
      <w:r>
        <w:rPr>
          <w:b/>
        </w:rPr>
        <w:t>E. 17</w:t>
      </w:r>
    </w:p>
    <w:p>
      <w:r>
        <w:t>mai 2019 consid. 4.4). b. Dès le 15 août 2018, l’assuré a recouvré une pleine capacité de travail dans toute activité adaptée à ses limitations. L’intimé a chiffré son degré d’invalidité à 13%, en comparant le revenu sans invalidité (CHF 63’223.-) qu’il aurait perçu en bonne santé selon son ex-employeur, en tenant compte de l’évolution des salaires, avec le revenu statistique d’invalide (CHF 60'589.-) qu’il aurait été en mesure de réaliser dans une activité adaptée à son handicap, après déduction d’un abattement de 10% (ESS 2014, tableau TA1_tirage_skill_level, niveau de compétence 1, indexé). c. En ce qui concerne le revenu d’invalide, vu l’activité de substitution exigible du recourant dans un emploi adapté, le salaire de référence est bien celui auquel peuvent prétendre les hommes effectuant des activités simples et répétitives (niveau 1) dans le secteur privé, soit CHF 63'744.- par année (CHF 5'312.- x 12 ; ESS 2014, TA1_skill_level, ligne total). Cette valeur statistique s'applique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ne requérant pas de formation particulière, si ce n'est une phase initiale d'adaptation et d'apprentissage (arrêts du Tribunal fédéral 9C_633/2017 du 29 décembre 2017 consid. 4.3 et 8C_227/2018 du 14 juin 2018 consid. 4.2.3.3). Étant donné que les salaires bruts standardisés tiennent compte d’un horaire de 40 heures, soit d’une durée hebdomadaire de travail inférieure à la moyenne usuelle dans les entreprises (41.7 heures par semaine ; office fédéral de la statistique – statistique de la durée normale du travail dans les entreprises, DNT), ce montant doit être porté à CHF 66'453.- (CHF 63'744.- x 41.7 / 40), puis à CHF 67’650.- une fois indexé à 2018 selon l’évolution des salaires en termes nominaux (de 2014 à 2018, l’indice est passé de 2'220 à 2'260 ; soit CHF 66'453.- x 2'260 / 2'220). Moyennant un abattement de 10%, tel qu’évalué par l’intimé, on obtient un revenu d’invalide de CHF 60'885.- (CHF 67'650.- x 0.9). d. Le recourant conteste le taux d’abattement (10%) qu’a retenu l’intimé pour tenir compte de ses limitations fonctionnelles. Toutefois, il ne démontre pas pour quels motifs – autres que le critère des limitations fonctionnelles déjà pris en considération – ses possibilités de gain seraient inférieures à la moyenne dans des activités légères et adaptées. De surcroît, il convient de relever que le Tribunal fédéral a confirmé des taux oscillant entre 10 et 15% dans d’autres causes impliquant des limitations fonctionnelles similaires (arrêts du Tribunal fédéral</w:t>
      </w:r>
    </w:p>
    <w:p>
      <w:r>
        <w:t>A/441/2019 - 15/17 - 8C_471/2017 du 16 avril 2018 consid. 5.3 et 8C_798/2017 du 2 août 2018 consid. 4.3.2). Partant, le taux d’abattement retenu par l’intimé ne prête pas le flanc à la critique. e. La comparaison des deux revenus déterminants – celui sans invalidité de CHF 63’223.- n’est pas contesté – donne un degré d’invalidité (arrondi) de 4% [(CHF 63’223.- – CHF 60’885.-) / CHF 63’223.-], qui justifie la suppression de la rente d’invalidité avec effet au 30 novembre 2018, trois mois après l’amélioration de la capacité de gain (art. 28 al. 1 LAI et 88a al. 1 RAI). f. En conclusion, le recourant a droit à une rente entière d'invalidité du 1er janvier 2018, six mois après le dépôt de sa demande, jusqu'au 30 novembre 2018, trois mois après l'amélioration de sa capacité de gain. 14. Enfin, le recourant réclame l'octroi d'un reclassement professionnel, voire d'autres mesures de réadaptation.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En l'occurrence, le recourant ne peut prétendre à une mesure de reclassement, faute de présenter un degré d'invalidité d'au moins 20%, comme l'exige la jurisprudence.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w:t>
      </w:r>
    </w:p>
    <w:p>
      <w:r>
        <w:t>A/441/2019 - 16/17 -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 En l’espèce, le recourant a déjà bénéficié, dans le cadre des mesures d’intervention précoces, d’un coaching professionnel auprès de l’OSEO, puis de l’entreprise G______. Dans ce contexte, les exemples de professions adaptées cités par le service de réadaptation de l'AI sont suffisants pour que l’intéressé puisse s'orienter seul sur le marché du travail. De surcroît, le recourant a lui-même identifié la cible professionnelle de conducteur de locomotive, pour laquelle il a entamé des sélections auprès des CFF, de sorte qu’il ne se trouve manifestement pas dans la situation d’un assuré qui n'aurait pas encore fait le choix d'une profession et dont l'invalidité l'empêcherait d’opérer ce choix. Partant, le recourant n'a pas droit à une mesure d'orientation professionnelle. Pour le reste, l'intéressé ne désigne aucune autre mesure d’ordre professionnel qui serait susceptible d'entrer en considération dans son cas. Partant, le refus de l'intimé de lui accorder d’autres mesures de réadaptation n'est pas critiquable. 15. Au vu de ce qui précède, le recours est partiellement admis et la décision du</w:t>
      </w:r>
    </w:p>
    <w:p>
      <w:r>
        <w:rPr>
          <w:b/>
        </w:rPr>
        <w:t>E. 18</w:t>
      </w:r>
    </w:p>
    <w:p>
      <w:r>
        <w:t>décembre 2018 réformée, en ce sens que le recourant a droit à une rente entière d’invalidité du 1er janvier au 30 novembre 2018. Pour le reste, la décision est confirmée et le recours rejeté. 16. Le recourant obtenant partiellement gain de cause, une indemnité de CHF 1’500.- lui est accordée à titre de participation à ses frais et dépens (art. 61 let. g LPGA ; art. 89H al. 3 LPA ; art. 6 du règlement sur les frais, émoluments et indemnités en procédure administrative du 30 juillet 1986 - RFPA ; RS E 5 10.03), à charge de l’intimé. 17. La procédure de recours en matière de contestation portant sur l’octroi ou le refus de prestations de l’assurance-invalidité étant soumise à des frais de justice, un émolument de CHF 500.- est mis à charge de l’intimé (art. 69 al. 1 bis LAI). *****</w:t>
      </w:r>
    </w:p>
    <w:p>
      <w:r>
        <w:t>A/441/2019 - 17/17 -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