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ATAS/793/2014 vom 27. Juni 2014</w:t>
      </w:r>
    </w:p>
    <w:p>
      <w:r>
        <w:t>GE Cour de justice, 2014-06-27, FR</w:t>
      </w:r>
    </w:p>
    <w:p>
      <w:r>
        <w:rPr>
          <w:b/>
        </w:rPr>
        <w:t xml:space="preserve">Quelle: </w:t>
      </w:r>
      <w:r>
        <w:t>https://mcp.opencaselaw.ch/entscheid/ge_gerichte_ATAS_793_2014</w:t>
      </w:r>
    </w:p>
    <w:p>
      <w:r>
        <w:t>FR: GE_GERICHTE ATAS/793/2014 du 27 juin 2014</w:t>
      </w:r>
    </w:p>
    <w:p>
      <w:r>
        <w:t>IT: GE_GERICHTE ATAS/793/2014 del 27 giugno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recours, interjeté dans les forme et délai prévus par la loi (art. 56 à 60 LPGA), est recevable.</w:t>
      </w:r>
    </w:p>
    <w:p>
      <w:r>
        <w:rPr>
          <w:b/>
        </w:rPr>
        <w:t>E. 3</w:t>
      </w:r>
    </w:p>
    <w:p>
      <w:r>
        <w:t>Le litige porte sur la suspension des indemnités de chômage du recourant pour une durée de 35 jours,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w:t>
      </w:r>
    </w:p>
    <w:p>
      <w:r>
        <w:t>A/1207/2014 - 4/6 -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 verwaltungsrecht [SBVR], Soziale Sicherheit, ch. 704). Ainsi, afin de ne pas compromettre la possibilité de mettre un terme à son chômage, l'assuré doit, lors des pourparlers avec l'employeur futur, manifester clairement qu'il est disposé à passer un contrat (DTA 1984 no 14 p. 167).</w:t>
      </w:r>
    </w:p>
    <w:p>
      <w:r>
        <w:rPr>
          <w:b/>
        </w:rPr>
        <w:t>E. 5</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w:t>
      </w:r>
    </w:p>
    <w:p>
      <w:r>
        <w:rPr>
          <w:b/>
        </w:rPr>
        <w:t>E. 6</w:t>
      </w:r>
    </w:p>
    <w:p>
      <w:r>
        <w:t>En l’espèce, force est de constater que le recourant n’a pas donné suite à l’assignation d’emploi de l’intimé dans le délai imparti au 18 novembre 2011 – délai figurant sur le recto de l’assignation en question. Les explications du recourant selon lesquelles il n’aurait pas remarqué l’adresse de l’employeur figurant au verso de l’assignation ne sauraient suffire à excuser son manquement, qui doit être qualifié de grave au sens de la jurisprudence. On peine en effet à comprendre qu’il ait fallu au recourant près de trois mois pour prendre contact avec l’employeur désigné. On relèvera au surplus que la motivation de</w:t>
      </w:r>
    </w:p>
    <w:p>
      <w:r>
        <w:t>A/1207/2014 - 5/6 - l’intéressé semble douteuse puisqu’il n’a pas cru bon de se représenter comme convenu chez l’employeur le 29 janvier 2014. Contrairement à ce qu’il allègue, aucun contrat de travail ne lui a été proposé, qui expliquerait qu’il ait préféré un poste plutôt que celui assigné. Quoi qu’il en soit, les délais de candidature étaient largement dépassés. En conséquence, il y a lieu de retenir que le recourant a fait échouer une possibilité concrète d’emploi et commis une faute que la jurisprudence considère comme grave. Dès lors, la suspension du droit à l’indemnité prononcée par l’autorité intimée ne peut qu'être confirmée.</w:t>
      </w:r>
    </w:p>
    <w:p>
      <w:r>
        <w:t>A/1207/2014 - 6/6 -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