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ATAS/793/2013 vom 22. August 2013</w:t>
      </w:r>
    </w:p>
    <w:p>
      <w:r>
        <w:t>GE Cour de justice, 2013-08-22, FR</w:t>
      </w:r>
    </w:p>
    <w:p>
      <w:r>
        <w:rPr>
          <w:b/>
        </w:rPr>
        <w:t xml:space="preserve">Quelle: </w:t>
      </w:r>
      <w:r>
        <w:t>https://mcp.opencaselaw.ch/entscheid/ge_gerichte_ATAS_793_2013</w:t>
      </w:r>
    </w:p>
    <w:p>
      <w:r>
        <w:t>FR: GE_GERICHTE ATAS/793/2013 du 22 août 2013</w:t>
      </w:r>
    </w:p>
    <w:p>
      <w:r>
        <w:t>IT: GE_GERICHTE ATAS/793/2013 del 22 agosto 2013</w:t>
      </w:r>
    </w:p>
    <w:p>
      <w:pPr>
        <w:pStyle w:val="Heading2"/>
      </w:pPr>
      <w:r>
        <w:t>Erwägungen</w:t>
      </w:r>
    </w:p>
    <w:p>
      <w:r>
        <w:rPr>
          <w:b/>
        </w:rPr>
        <w:t>E. 29</w:t>
      </w:r>
    </w:p>
    <w:p>
      <w:r>
        <w:t>mai 2008 (cf. http://www.css.ch/fr/home/ueber_uns/medien_publikationen/medienmitteilungen/ar chiv_medienmitteilungen.html, consulté le 8 juillet 2013) atteste qu'INTRAS a con- tinué de travailler avec ses propres produits d’assurance, sans changer d'interlocu- teurs. De plus, contrairement aux allégations la police d'assurance QUADRA+ est tou- jours disponible et référencée sur le site internet d'INTRAS, au nombre des produits d'assurances complémentaires distribués par celle-ci (cf. http://www.css.ch/fr/home/privatpersonen/produkte/zusatzversicherungen/weitere_ zusatzversicherungen/intras_zusatzprodukte.html#quadra, consulté le 8 juillet 2013). Pour le surplus, si la demanderesse a certes indifféremment adressé ses courriers à INTRAS et CSS, c'est toujours INTRAS qui lui a répondu – sauf le 29 janvier 2013 mais cela n'est pas décisif vu la teneur de ce courrier, qui se bornait à informer l'assurée que la personne sollicitée était absente. Partant, la partie assignée par la demanderesse n'est pas légitimée à effectuer une permutation d'assurance, ni à procéder à un éventuel remboursement. La partie assignée ayant refusé de prêter son concours à la substitution de partie et conclu au rejet de la demande pour défaut de légitimation passive, la Cour de céans ne peut que rejeter la demande, d'autant que la demanderesse est représentée et que l'on peut raisonnablement s'attendre, dans une telle configuration, à ce que son con- seil vérifie quelle est la partie débitrice des prestations réclamée. Pour le surplus, la procédure est gratuite (art. 114 let. e CPC).</w:t>
      </w:r>
    </w:p>
    <w:p>
      <w:r>
        <w:t>A/1049/2013 - 6/6 -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