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ATAS/792/2025 vom 21. Oktober 2025</w:t>
      </w:r>
    </w:p>
    <w:p>
      <w:r>
        <w:t>GE Cour de justice, 2025-10-21, FR</w:t>
      </w:r>
    </w:p>
    <w:p>
      <w:r>
        <w:rPr>
          <w:b/>
        </w:rPr>
        <w:t xml:space="preserve">Quelle: </w:t>
      </w:r>
      <w:r>
        <w:t>https://mcp.opencaselaw.ch/entscheid/ge_gerichte_ATAS_792_2025</w:t>
      </w:r>
    </w:p>
    <w:p>
      <w:r>
        <w:t>FR: GE_GERICHTE ATAS/792/2025 du 21 octobre 2025</w:t>
      </w:r>
    </w:p>
    <w:p>
      <w:r>
        <w:t>IT: GE_GERICHTE ATAS/792/2025 del 21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point de savoir si l’intimée était fondée à mettre un terme au paiement des prestations d'assurance au 28 mai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3.2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w:t>
      </w:r>
    </w:p>
    <w:p>
      <w:r>
        <w:t>A/1143/2025 - 7/14 - examiné sous l'angle de l'art. 6 al. 2 LAA (ATF 146 V 51 consid. 9.1 ; arrêt du Tribunal fédéral 8C_520 du 3 mai 2021 consid. 5.1 ; résumé dans la RSAS 1/2020 p. 33 ss. ; arrêt du Tribunal fédéral 8C_169/2019 du 10 mars 2020 consid. 5.2).</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w:t>
      </w:r>
    </w:p>
    <w:p>
      <w:r>
        <w:t>A/1143/2025 - 8/14 -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3.4</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3.5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A/1143/2025 - 9/14 - médecin doit lui fournir (ATF 122 V 157 consid. 1b). Pour apprécier le droit aux prestations d’assurances sociales, il y a lieu de se baser sur des éléments médicaux fiables (ATF 134 V 231 consid 5.1).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7</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w:t>
      </w:r>
    </w:p>
    <w:p>
      <w:r>
        <w:t>A/1143/2025 - 10/14 -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w:t>
      </w:r>
    </w:p>
    <w:p>
      <w:r>
        <w:t>A/1143/2025 - 11/14 -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9.1</w:t>
      </w:r>
    </w:p>
    <w:p>
      <w:r>
        <w:t>En l’occurrence, l'intimée a supprimé les prestations d'assurance avec effet ex nunc et pro futuro au 28 mai 2024, en s'appuyant sur les appréciations des Drs C______ et D______. Elle a conclu que les effets délétères de l’accident avaient cessé au plus tard trois mois après celui-ci. Les atteintes persistantes étaient liées à un état préexistant décompensé par l’accident. Le recourant s’y oppose en faisant valoir que les rapports du Dr B______ considèrent que ses atteintes sont liées à son accident.</w:t>
      </w:r>
    </w:p>
    <w:p>
      <w:r>
        <w:rPr>
          <w:b/>
        </w:rPr>
        <w:t>E. 9.2</w:t>
      </w:r>
    </w:p>
    <w:p>
      <w:r>
        <w:t>À titre préalable, conformément à la jurisprudence précitée, la Cour de céans relèvera que c’est à juste titre que l’intimée, ayant admis l’existence d’un accident au sens de l’art. 4 LPGA, a pris en charge le cas du recourant selon l’art. 6 al. 1 LAA et non l’art. 6 al. 2 LAA.</w:t>
      </w:r>
    </w:p>
    <w:p>
      <w:r>
        <w:rPr>
          <w:b/>
        </w:rPr>
        <w:t>E. 9.3</w:t>
      </w:r>
    </w:p>
    <w:p>
      <w:r>
        <w:t>Il y a lieu d’examiner la valeur probante des éléments médicaux au dossier. S’agissant du rapport du Dr C______ du 20 juillet 2024, à sa lecture, on constate que ce dernier retient comme déroulement de l’accident que le recourant s’est blessé lors d’un choc contre le bord du bassin, ce qui ressort effectivement de la déclaration de sinistre de l’employeur, mais a été développé dans le rapport du Dr B______ du 19 avril 2024. Dans celui-ci, il est expliqué que le recourant a subi un traumatisme en abduction forcée lors d’un sursaut dans une piscine. À cela s’ajoute que l’origine dégénérative des atteintes n’est pas motivée par le Dr C______, il en va de même de la date fixée pour le statu quo sine à 3 mois.</w:t>
      </w:r>
    </w:p>
    <w:p>
      <w:r>
        <w:t>A/1143/2025 - 12/14 - Sur demande du Dr C______, le Dr D______ a analysé le dossier du recourant et a rendu une appréciation datée du 11 octobre 2024. Cependant, le contenu de la requête d’opinion du Dr C______ porte uniquement sur l’examen de l’IRM du 19 avril 2024. Il n’est donc pas établi que le Dr D______ ait eu connaissance de l’intégralité du dossier, étant relevé que son rapport du 11 octobre 2024 ne fait état que de ladite IRM et de la déclaration de sinistre pour retenir que le recourant a subi un choc en heurtant le bord de la piscine, ce qui ne correspond pas au déroulement de son accident comme développé précédemment. Par ailleurs, il sied de relever que s’agissant de la lésion SLAP de type II, le Dr C______ se limite à conclure qu’elle est probablement d’origine dégénérative, se basant sur la pratique du recourant du waterpolo, sans autre motivation. Dans son rapport du 15 juillet 2025, le Dr D______ persiste à retenir à tort que le recourant s’est blessé en heurtant le bord de la piscine. La Cour de céans relève par ailleurs que son argumentation semble confuse. En effet, il note que le raisonnement post hoc ergo du Dr B______ est erroné, en expliquant que plus de la moitié des déchirures et des décollements dégénératifs des tendons de la coiffe des rotateurs sont asymptomatiques et n’entrainent aucune limitation de la fonction de l’épaule sauf s’ils sont transmuraux. Puis, il mentionne que déjà avec une distance acromio-humérale de 8 à 10 mm sur des radiographies, des lésions transmurales du tendon musculi supraspinati sont présentes dans 57% des cas, laissant entendre qu’il s’agit d’une lésion transmurale en l’espèce qui aurait donc pu être symptomatique selon le Dr D______. Il concluait son rapport en recommandant de soumettre le cas au Dr C______, ce qui n’avait pas été fait par l’intimée. De son côté, dans son rapport du 21 août 2024, le Dr B______ a expliqué que le traumatisme subi était « adéquat » pour retenir la vraisemblance prépondérante, étant par ailleurs précisé que le recourant n’avait pas présenté de signes cliniques avant l’accident et avait souffert de limitations et de douleurs juste après celui-ci. Il considérait que ce type de traumatisme était potentiellement causal avec des lésions de la coiffe des rotateurs et du biceps. Conformément à la jurisprudence précitée, ce raisonnement « post hoc, ergo propter hoc » est insuffisant. Dans son rapport du 7 mai 2025, le Dr B______ mentionne un lien entre des lésions SLAP II et de la coiffe des rotateurs avec des fractures de la clavicule, ce qui n’est pas pertinent en l’espèce, le recourant ne présentant pas de fracture de la clavicule. Le Dr B______ continue à se baser sur l’absence de symptômes avant l’accident, ce qui est insuffisant comme indiqué précédemment. Pour lui, la diminution de l’espace sous-acromial était la conséquence d’une rupture de la coiffe, sans autre motivation. En l’état du dossier, il n’est donc pas possible de trancher l’origine des lésions présentées par le recourant.</w:t>
      </w:r>
    </w:p>
    <w:p>
      <w:r>
        <w:t>A/1143/2025 - 13/14 - Il est en effet nécessaire de recourir à une expertise indépendante avec volet orthopédique (art. 44 LPGA). À cette fin, la cause est renvoyée à l'intimée pour complément d'instruction sous la forme d’une expertise et nouvelle décision. Un renvoi à l'administration se justifie d'autant plus que l'intimée a insuffisamment instruit le dossier, le Dr D______ ayant lui-même préconisé une appréciation du Dr C______ après son avis du 15 juillet 2025.</w:t>
      </w:r>
    </w:p>
    <w:p>
      <w:r>
        <w:rPr>
          <w:b/>
        </w:rPr>
        <w:t>E. 10</w:t>
      </w:r>
    </w:p>
    <w:p>
      <w:r>
        <w:t>Au vu de ce qui précède, le recours est partiellement admis, la décision litigieuse annulée, et la cause renvoyée à l'intimée afin qu'elle procède conformément aux considérants. Le recourant, représenté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2'500.-. Pour le surplus, la procédure est gratuite (art. 61 let. fbis LPGA a contrario).</w:t>
      </w:r>
    </w:p>
    <w:p>
      <w:r>
        <w:t>***</w:t>
      </w:r>
    </w:p>
    <w:p>
      <w:r>
        <w:t>A/1143/2025 - 14/14 -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