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ATAS/791/2023 vom 17. Oktober 2023</w:t>
      </w:r>
    </w:p>
    <w:p>
      <w:r>
        <w:t>GE Cour de justice, 2023-10-17, FR</w:t>
      </w:r>
    </w:p>
    <w:p>
      <w:r>
        <w:rPr>
          <w:b/>
        </w:rPr>
        <w:t xml:space="preserve">Quelle: </w:t>
      </w:r>
      <w:r>
        <w:t>https://mcp.opencaselaw.ch/entscheid/ge_gerichte_ATAS_791_2023</w:t>
      </w:r>
    </w:p>
    <w:p>
      <w:r>
        <w:t>FR: GE_GERICHTE ATAS/791/2023 du 17 octobre 2023</w:t>
      </w:r>
    </w:p>
    <w:p>
      <w:r>
        <w:t>IT: GE_GERICHTE ATAS/791/2023 del 17 ottobre 2023</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dans les délai et forme prescrits par la loi, le recours est recevable (art. 60 al. 1 LPGA ; art. 62 al. 1 let. a de la loi sur la procédure administrative du 12 septembre 1985 [LPA-GE - E 5 10] et art. 43 LPCC).</w:t>
      </w:r>
    </w:p>
    <w:p>
      <w:r>
        <w:t>A/3617/2022 - 4/7 -</w:t>
      </w:r>
    </w:p>
    <w:p>
      <w:r>
        <w:rPr>
          <w:b/>
        </w:rPr>
        <w:t>E. 2.1</w:t>
      </w:r>
    </w:p>
    <w:p>
      <w:r>
        <w:t>Le litige porte sur la question de savoir si l’intimé était fondé à ne retenir qu’une moitié du loyer dans les charges du recourant qui prétend à ce que l’intégralité de celui-ci soit pris en compte.</w:t>
      </w:r>
    </w:p>
    <w:p>
      <w:r>
        <w:rPr>
          <w:b/>
        </w:rPr>
        <w:t>E. 2.2</w:t>
      </w:r>
    </w:p>
    <w:p>
      <w:r>
        <w:t>Sur le plan fédéral, dans le cadre de la réforme de la LPC, entrée en vigueur le 1er janvier 2021, de nombreuses dispositions ont été modifiées (FF 2016 7249 ; RO 2020 585). Dans la mesure où la décision du SPC date du 29 mars 2022 et qu’elle porte sur des prestations dès le 1er novembre 2021, il convient d’appliquer le nouveau droit.</w:t>
      </w:r>
    </w:p>
    <w:p>
      <w:r>
        <w:rPr>
          <w:b/>
        </w:rPr>
        <w:t>E. 2.3</w:t>
      </w:r>
    </w:p>
    <w:p>
      <w:r>
        <w:t>L'art. 10 LPC définit les dépenses reconnues et fixe notamment les montants destinés à la couverture des besoins vitaux et le montant maximal reconnu pour le loyer d'un appartement. Selon l'art. 10 al. 1ter LPC, dans sa version applicable depuis le 1er janvier 2021, pour les personnes vivant en communauté d’habitation, lorsqu’il n’y a pas de calcul commun en vertu de l’art. 9 al. 2 LPC, le montant pris en considération est le montant annuel maximal reconnu au titre du loyer pour une personne vivant dans un ménage de deux personnes. L’art. 16c OPC-AVS/AI pose la règle du partage du loyer à parts égales pour les personnes vivant en communauté d’habitation dans les dépenses reconnues. Depuis le 1er janvier 2021, le montant maximal annuel du loyer pouvant être pris en compte à titre de dépenses reconnues est fixé en référence au point de savoir si le requérant vit seul ou dans un ménage composé de plusieurs personnes, indépendamment de son état civil (art. 10 al. 1 lit. b LPC). Aux termes de l'art. 9 al. 2 LPC, les dépenses reconnues et les revenus déterminants des conjoints et des personnes qui ont des enfants ayant droit à une rente d’orphelin ou donnant droit à une rente pour enfant de l’AVS ou de l’AI sont additionnés. Selon les directives concernant les prestations complémentaires à l'AVS et à l'AI, état au 1er janvier 2022 (ci-après : DPC), une communauté d’habitation correspond à la situation dans laquelle une personne seule – c’est-à-dire une personne vivant seule, un conjoint vivant séparément ou une personne dont le conjoint vit dans un home ou un hôpital – vit avec une ou plusieurs personnes qui ne sont pas comprises dans le calcul de la PC (ch. 3232.06).</w:t>
      </w:r>
    </w:p>
    <w:p>
      <w:r>
        <w:rPr>
          <w:b/>
        </w:rPr>
        <w:t>E. 2.4</w:t>
      </w:r>
    </w:p>
    <w:p>
      <w:r>
        <w:t>Sur le plan cantonal, les dépenses reconnues sont celles énumérées par la LPC et ses dispositions d'exécution (art. 6 LPCC).</w:t>
      </w:r>
    </w:p>
    <w:p>
      <w:r>
        <w:rPr>
          <w:b/>
        </w:rPr>
        <w:t>E. 2.5</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w:t>
      </w:r>
    </w:p>
    <w:p>
      <w:r>
        <w:t>A/3617/2022 - 5/7 -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2.6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3.1</w:t>
      </w:r>
    </w:p>
    <w:p>
      <w:r>
        <w:t>En l’espèce, le recourant soutient qu’il vit en concubinage depuis 2017 avec son épouse C______, dont le mariage contracté au Kosovo en 2001 n’a pas été reconnu en Suisse.</w:t>
      </w:r>
    </w:p>
    <w:p>
      <w:r>
        <w:rPr>
          <w:b/>
        </w:rPr>
        <w:t>E. 3.2</w:t>
      </w:r>
    </w:p>
    <w:p>
      <w:r>
        <w:t>Vu la cohabitation, il est conforme à la loi en vigueur de ne tenir compte que de la moitié du loyer du logement du recourant, indépendamment de son état civil (art. 16c OPC-AVS/AI et art. 10 al. 1 lit. b LPC).</w:t>
      </w:r>
    </w:p>
    <w:p>
      <w:r>
        <w:rPr>
          <w:b/>
        </w:rPr>
        <w:t>E. 4.1</w:t>
      </w:r>
    </w:p>
    <w:p>
      <w:r>
        <w:t>Le recourant soutient qu’il a une obligation d’entretien envers son épouse au sens de l’art. 163 CC. Cette dernière serait entièrement à sa charge puisqu’empêchée de travailler compte tenu de son âge, de son absence de formation et du fait qu’elle doit consacrer son temps à lui fournir des soins.</w:t>
      </w:r>
    </w:p>
    <w:p>
      <w:r>
        <w:rPr>
          <w:b/>
        </w:rPr>
        <w:t>E. 4.2</w:t>
      </w:r>
    </w:p>
    <w:p>
      <w:r>
        <w:t>S’agissant tout d’abord du fait que l’épouse du recourant serait entièrement à charge de ce dernier, il sied de constater que bien que marié avec C______ depuis 2001, le recourant n’a jamais fait état de cette union dans les précédentes procédures. Il n’a pas davantage soutenu qu’il aurait assumé une obligation d’entretien envers cette épouse. Il ne s’est prévalu d’une obligation de soutien</w:t>
      </w:r>
    </w:p>
    <w:p>
      <w:r>
        <w:t>A/3617/2022 - 6/7 - envers elle (par la prise en charge de son loyer) et d’une obligation de soins que cette dernière assumerait envers lui que 20 ans après leur mariage célébré en 2001 (soit en 2021), pour prétendre à des prestations complémentaires supérieures à celles qu’il reçoit.</w:t>
      </w:r>
    </w:p>
    <w:p>
      <w:r>
        <w:rPr>
          <w:b/>
        </w:rPr>
        <w:t>E. 4.3</w:t>
      </w:r>
    </w:p>
    <w:p>
      <w:r>
        <w:t>Si l’on peut en déduire que le recourant n’a fait venir sa deuxième épouse en Suisse et l’héberge que depuis le décès de la première épouse, selon les écrits du recourant, en 2017, force est d’admettre que la deuxième épouse était jusqu’alors capable d’assumer elle-même son entretien. Le recourant ne va en effet pas jusqu’à prétendre qu’il aurait entretenu sa deuxième épouse au moyen des prestations sociales qu’il a perçues pendant des années pour subvenir aux besoins de sa première épouse et aux siens, et cela alors que le SPC ignorait l’existence de cette seconde épouse. L’on ne saurait dès lors admettre aujourd’hui que la compagne actuelle du recourante ne serait soudainement plus en mesure d’assumer ses propres charges et que le recourant serait tenu sur la base de l’art. 163 CC de les assumer pour elle. L’on précisera que le fait que la compagne ait 53 ans ou qu’elle n’ait pas de formation ne justifie pas qu’elle ne travaille pas, alors qu’elle assumait auparavant son propre entretien. Il n’est enfin pas allégué qu’elle serait invalide. Au contraire, le recourant affirme qu’elle s’occupe de lui et non pas l’inverse. Il est donc exigible que la compagne du recourant mette en valeur sa capacité de gain et participe grâce à son salaire aux dépenses du ménage. Il sera relevé à ce stade que, contrairement à ce qu’il paraît croire, le recourant n’est pas désavantagé par le fait que son union n’est pas reconnue par l’intimé. En effet, ce sont au contraire les époux dont le lien conjugal est reconnu qui sont désavantagés par rapport à des concubins, dès lors que le revenu (le cas échéant hypothétique) de l’activité lucrative du conjoint non bénéficiaire de prestations complémentaires est pris en compte dans les revenus déterminants, à hauteur de 80% (cf. art. 11 al. 1 lit. a et 11a al. 1 LPC). Dès lors, si l’on tenait l’union du recourant pour un mariage valable, on devrait dans cette hypothèse aussi prendre en compte, dans les revenus déterminants, un revenu, éventuellement hypothétique, pour sa compagne, à concurrence de 80%.</w:t>
      </w:r>
    </w:p>
    <w:p>
      <w:r>
        <w:rPr>
          <w:b/>
        </w:rPr>
        <w:t>E. 4.4</w:t>
      </w:r>
    </w:p>
    <w:p>
      <w:r>
        <w:t>Quant au fait que l’épouse du recourant ne serait pas en mesure de travailler, car elle devrait lui apporter des soins permanents, la chambre de céans relève que les nombreuses demandes de rentes d’invalidité déposées par le recourant ont été rejetées, le recourant n’étant pas invalide au vu des éléments médicaux au dossier (ATAS/208/2021 du 11 mars 2021). L’invalidité du recourant a été niée malgré de nombreuses expertises et recours de ce dernier. Par voie de conséquence, il ne peut pas être suivi lorsqu’il indique que son épouse ne peut pas travailler, car elle doit lui fournir des soins. Elle ne peut pas davantage être considérée comme une personne à charge du recourant qui devrait dès lors assumer seul le paiement du loyer de l’appartement partagé par le couple.</w:t>
      </w:r>
    </w:p>
    <w:p>
      <w:r>
        <w:t>A/3617/2022 - 7/7 - Eu égard à ce qui précède, le recours infondé sera rejeté. Pour le surplus, la procédure est gratuite.</w:t>
      </w:r>
    </w:p>
    <w:p>
      <w:r>
        <w: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