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ATAS/791/2012 vom 11. Juni 2012</w:t>
      </w:r>
    </w:p>
    <w:p>
      <w:r>
        <w:t>GE Cour de justice, 2012-06-11, FR</w:t>
      </w:r>
    </w:p>
    <w:p>
      <w:r>
        <w:rPr>
          <w:b/>
        </w:rPr>
        <w:t xml:space="preserve">Quelle: </w:t>
      </w:r>
      <w:r>
        <w:t>https://mcp.opencaselaw.ch/entscheid/ge_gerichte_ATAS_791_2012</w:t>
      </w:r>
    </w:p>
    <w:p>
      <w:r>
        <w:t>FR: GE_GERICHTE ATAS/791/2012 du 11 juin 2012</w:t>
      </w:r>
    </w:p>
    <w:p>
      <w:r>
        <w:t>IT: GE_GERICHTE ATAS/791/2012 del 11 giugno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en temps utile, le recours est recevable (art. 60 LPGA).</w:t>
      </w:r>
    </w:p>
    <w:p>
      <w:r>
        <w:rPr>
          <w:b/>
        </w:rPr>
        <w:t>E. 3</w:t>
      </w:r>
    </w:p>
    <w:p>
      <w:r>
        <w:t>Le 11 mai 2012, le recourant a requis la restitution de l'effet suspensif à son recours.</w:t>
      </w:r>
    </w:p>
    <w:p>
      <w:r>
        <w:rPr>
          <w:b/>
        </w:rPr>
        <w:t>E. 4</w:t>
      </w:r>
    </w:p>
    <w:p>
      <w:r>
        <w:t>a) Selon l'art. 54 al. 1 let. c LPGA,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w:t>
      </w:r>
    </w:p>
    <w:p>
      <w:r>
        <w:t>A/1430/2012 - 9/11 -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Une décision portant sur le retrait ou la restitution de l'effet suspensif est une décision incidente en matière de mesures provisionnelles (ATF du 12 mai 2011 9C 94/2011). Dans l'arrêt précité du 19 septembre 2006 (I 439/06), le TFA a considéré que, dans le contexte de la révision du droit à la rente d'invalidité, l'intérêt de l'assurée à pouvoir continuer à bénéficier de la rente qu'elle percevait jusqu'alors n'était pas d'une importance décisive, tant qu'il n'y avait pas lieu d'admettre que selon toute vraisemblance elle l'emporterait dans la cause principale.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w:t>
      </w:r>
    </w:p>
    <w:p>
      <w:r>
        <w:rPr>
          <w:b/>
        </w:rPr>
        <w:t>E. 5</w:t>
      </w:r>
    </w:p>
    <w:p>
      <w:r>
        <w:t>En l'espèce, le recourant requiert la restitution de l'effet suspensif au recours au motif qu'il se trouve dans une incertitude financière totale. Cet argument n'est, au regard de la jurisprudence précitée, pas suffisant pour admettre la requête du recourant. En effet, il est à craindre, dans un tel cas, que si le recourant n'obtient pas gain de cause sur le fond, la procédure en restitution des prestations reçues à tort ne se révèle infructueuse. Par ailleurs, s'agissant des chances de prévisions sur l'issue du litige, elles ne présentent pas un degré de certitude suffisant pour pouvoir être prises en considération. En effet, les rapports médicaux au dossier ne permettent pas, en l'état, de conclure d'une façon certaine à l'existence d'un rapport de causalité naturelle et adéquat entre les troubles vertigineux du recourant et l'accident du 4 juin 2010, étant relevé que plusieurs médecins ont attesté de vertiges d'origine</w:t>
      </w:r>
    </w:p>
    <w:p>
      <w:r>
        <w:t>A/1430/2012 - 10/11 - indéterminée (rapport du Dr F________ du 4 février 2011, rapport de la CRR du 4 juillet 2011, rapport du Dr G________ du 16 décembre 2011).</w:t>
      </w:r>
    </w:p>
    <w:p>
      <w:r>
        <w:rPr>
          <w:b/>
        </w:rPr>
        <w:t>E. 6</w:t>
      </w:r>
    </w:p>
    <w:p>
      <w:r>
        <w:t>Au vu de ce qui précède, la requête en restitution de l'effet suspensif au recours sera rejetée et le fond réservé.</w:t>
      </w:r>
    </w:p>
    <w:p>
      <w:r>
        <w:t>A/1430/2012 - 11/11 -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