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ATAS/790/2023 vom 9. Oktober 2023</w:t>
      </w:r>
    </w:p>
    <w:p>
      <w:r>
        <w:t>GE Cour de justice, 2023-10-09, FR</w:t>
      </w:r>
    </w:p>
    <w:p>
      <w:r>
        <w:rPr>
          <w:b/>
        </w:rPr>
        <w:t xml:space="preserve">Quelle: </w:t>
      </w:r>
      <w:r>
        <w:t>https://mcp.opencaselaw.ch/entscheid/ge_gerichte_ATAS_790_2023</w:t>
      </w:r>
    </w:p>
    <w:p>
      <w:r>
        <w:t>FR: GE_GERICHTE ATAS/790/2023 du 9 octobre 2023</w:t>
      </w:r>
    </w:p>
    <w:p>
      <w:r>
        <w:t>IT: GE_GERICHTE ATAS/790/2023 del 9 ottobre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connait,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à moins que la loi n’y déroge expressément.</w:t>
      </w:r>
    </w:p>
    <w:p>
      <w:r>
        <w:t>A/925/2021 - 7/18 -</w:t>
      </w:r>
    </w:p>
    <w:p>
      <w:r>
        <w:rPr>
          <w:b/>
        </w:rPr>
        <w:t>E. 1.3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1.4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vu le dépôt de la demande de prestations le 14 mars 2013, la LAI et ses dispositions d’exécution seront appliquées dans leur teneur en vigueur jusqu’au 31 décembre 2021.</w:t>
      </w:r>
    </w:p>
    <w:p>
      <w:r>
        <w:rPr>
          <w:b/>
        </w:rPr>
        <w:t>E. 1.5</w:t>
      </w:r>
    </w:p>
    <w:p>
      <w:r>
        <w:t>Le délai de recours est de trente jours (art. 56 LPGA; art. 62 al. 1 de la loi sur la procédure administrative du 12 septembre 1985 [LPA - E 5 10]). Interjeté dans la forme et le délai prévus par la loi, le recours est recevable.</w:t>
      </w:r>
    </w:p>
    <w:p>
      <w:r>
        <w:rPr>
          <w:b/>
        </w:rPr>
        <w:t>E. 2</w:t>
      </w:r>
    </w:p>
    <w:p>
      <w:r>
        <w:t>Le litige porte sur le droit de la recourante à une rente d’invalidité, singulièrement sur l’évaluation de sa capacité de travail.</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w:t>
      </w:r>
    </w:p>
    <w:p>
      <w:r>
        <w:t>A/925/2021 - 8/18 -</w:t>
      </w:r>
    </w:p>
    <w:p>
      <w:r>
        <w:rPr>
          <w:b/>
        </w:rPr>
        <w:t>E. 4.1</w:t>
      </w:r>
    </w:p>
    <w:p>
      <w:r>
        <w:t>Les atteintes à la santé psychique peuvent, comme les atteintes physiques, entrainer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w:t>
      </w:r>
    </w:p>
    <w:p>
      <w:r>
        <w:rPr>
          <w:b/>
        </w:rPr>
        <w:t>E. 4.2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w:t>
      </w:r>
    </w:p>
    <w:p>
      <w:r>
        <w:t>A/925/2021 - 9/18 - intact (ATF 141 V 281 consid. 2.2.1 et 2.2.2 ; ATF 132 V 65 consid. 4.2.2 ; arrêt du Tribunal fédéral 9C_16/2016 du 14 juin 2016 consid. 3.2).</w:t>
      </w:r>
    </w:p>
    <w:p>
      <w:r>
        <w:rPr>
          <w:b/>
        </w:rPr>
        <w:t>E. 4.3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4.4</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5</w:t>
      </w:r>
    </w:p>
    <w:p>
      <w:r>
        <w:t>A/925/2021 - 10/18 -</w:t>
      </w:r>
    </w:p>
    <w:p>
      <w:r>
        <w:rPr>
          <w:b/>
        </w:rPr>
        <w:t>E. 5.1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5.2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5.3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w:t>
      </w:r>
    </w:p>
    <w:p>
      <w:r>
        <w:t>A/925/2021 - 11/18 -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5.4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6</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w:t>
      </w:r>
    </w:p>
    <w:p>
      <w:r>
        <w:t>A/925/2021 - 12/18 - 504 consid. 4.2 et les références; arrêt du Tribunal fédéral 9C_191/2021 du 25 novembre 2021 consid. 6.2.2 et les références).</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apparait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w:t>
      </w:r>
    </w:p>
    <w:p>
      <w:r>
        <w:t>En l’occurrence, l’intimé a considéré, sur la base du rapport des médecins traitants de la recourante et de l’expertise du Dr L______ du 11 mai 2017, que la recourante présentait, dès le 7 mai 2013, une capacité de travail de 100% dans une activité adaptée à ses limitations fonctionnelles, laquelle est contestée par la recourante.</w:t>
      </w:r>
    </w:p>
    <w:p>
      <w:r>
        <w:rPr>
          <w:b/>
        </w:rPr>
        <w:t>E. 8.1</w:t>
      </w:r>
    </w:p>
    <w:p>
      <w:r>
        <w:t>Du point de vue somatique, l’intimé, suivant l’avis du SMR, a retenu que la recourante était à même d’exercer une activité adaptée à un taux de 100%, soit en épargnant le rachis lombaire et les genoux ainsi que sans port de charge et sans force avec la pince pouce-index.</w:t>
      </w:r>
    </w:p>
    <w:p>
      <w:r>
        <w:t>A/925/2021 - 13/18 - La recourante conteste cette appréciation, en faisant valoir l’avis de ses médecins traitants.</w:t>
      </w:r>
    </w:p>
    <w:p>
      <w:r>
        <w:rPr>
          <w:b/>
        </w:rPr>
        <w:t>E. 8.1.1</w:t>
      </w:r>
    </w:p>
    <w:p>
      <w:r>
        <w:t>Le Dr M______ a fait état d’une problématique psychique (état dépressif et douleurs du registre somatoforme) qui relève d’une évaluation psychiatrique. S’agissant des affections rhumato-orthopédiques, il a signalé des douleurs aux genoux dues à une gonarthrose bilatérale et une discarthrose. Il ne se prononce pas sur la capacité de travail de la recourante. En particulier, aucun élément selon ses rapports des 21 juin 2022 et 1er novembre 2022 ne permet de remettre en cause une capacité de travail totale exigible de la recourante dans une activité respectant les limitations fonctionnelles, telles que décrites par l’intimé. Par ailleurs, l’éventuel déficit neurologique évoqué par le Dr M______, en tant qu’il n’est, en l’état, qu’une hypothèse médicale, ne saurait être reconnu. Quant à la Dre J______, son rapport du 19 août 2022, en tant qu’il retient des limitations fonctionnelles liées à la station assise et debout prolongée, la position accroupie et penchée en avant ainsi que le port de charge, ne permet pas non plus de mettre en cause l’exigibilité d’une capacité de travail totale de la recourante dans une activité adaptée. La Dre J______ admet d’ailleurs qu’une telle activité est exigible à un taux de 25 à 50%. Elle n’explique pas pour quel motif un taux plus élevé, en tant que l’activité est adaptée, ne serait pas exigible. Enfin, il en est de même du Dr G______, lequel relève, dans son rapport du 9 mai 2022, que la recourante est limitée à cause de ses douleurs et de son incapacité à rester assise ou debout de façon prolongée et à porter des charges de plus de 2 kg.</w:t>
      </w:r>
    </w:p>
    <w:p>
      <w:r>
        <w:rPr>
          <w:b/>
        </w:rPr>
        <w:t>E. 8.1.2</w:t>
      </w:r>
    </w:p>
    <w:p>
      <w:r>
        <w:t>Au demeurant, il convient d’admettre que, du point de vue somatique, la recourante est capable d’exercer une activité adaptée à ses limitations fonctionnelles.</w:t>
      </w:r>
    </w:p>
    <w:p>
      <w:r>
        <w:rPr>
          <w:b/>
        </w:rPr>
        <w:t>E. 8.2</w:t>
      </w:r>
    </w:p>
    <w:p>
      <w:r>
        <w:t>Du point de vue psychiatrique, l’intimé s’est fondé sur les conclusions du rapport du Dr L______, lequel a retenu chez la recourante un épisode dépressif majeur actuellement de gravité légère, non incapacitant. La chambre de céans a estimé qu’une expertise judiciaire était nécessaire, en relevant que les constatations et conclusions de l’expert L______ et du médecin traitant étaient fortement divergentes.</w:t>
      </w:r>
    </w:p>
    <w:p>
      <w:r>
        <w:rPr>
          <w:b/>
        </w:rPr>
        <w:t>E. 8.2.1</w:t>
      </w:r>
    </w:p>
    <w:p>
      <w:r>
        <w:t>Fondé sur toutes les pièces du dossier, comprenant deux entretiens avec la recourante et un entretien téléphonique avec l’époux de celle-ci, une anamnèse complète, la description d’une journée-type, les plaintes de la recourante, le status clinique, posant des diagnostics et limitations fonctionnelles clairs, exposant les éléments pertinents pour l’analyse des indicateurs jurisprudentiels et une motivation convaincante de l’incapacité de travail découlant des diagnostics posés, le rapport d’expertise de la Dre N______ répond aux réquisits jurisprudentiels précités pour qu’il lui soit reconnu une pleine valeur probante.</w:t>
      </w:r>
    </w:p>
    <w:p>
      <w:r>
        <w:rPr>
          <w:b/>
        </w:rPr>
        <w:t>E. 8.2.2</w:t>
      </w:r>
    </w:p>
    <w:p>
      <w:r>
        <w:t>La recourante se rallie aux conclusions du rapport d’expertise judiciaire. Quant à l’intimé, il conteste sa valeur probante, en se ralliant à un avis du SMR du</w:t>
      </w:r>
    </w:p>
    <w:p>
      <w:r>
        <w:t>A/925/2021 - 14/18 -</w:t>
      </w:r>
    </w:p>
    <w:p>
      <w:r>
        <w:rPr>
          <w:b/>
        </w:rPr>
        <w:t>E. 8.2.2.1</w:t>
      </w:r>
    </w:p>
    <w:p>
      <w:r>
        <w:t>Le SMR retient (avis du 14 septembre 2023) une possible aggravation de l’état de santé de la recourante au jour de l’examen clinique pratiqué par l’experte judiciaire en juillet 2023 [recte : avril 2023] ; il estime que la recourante présente, depuis lors, un épisode dépressif d’intensité moyenne, motivant une incapacité de travail probablement partielle. En revanche, il estime que l’évaluation du Dr L______ doit être suivie jusqu’à juillet 2023. En particulier, le SMR conteste le diagnostic de trouble dépressif récurrent posé par l’experte judiciaire, au motif que celui-ci implique que la recourante aurait dû, entre les épisodes dépressifs caractérisés, ne plus présenter de symptômes dépressifs, ce qui n’était pas le cas. Or, on peine à comprendre la critique du SMR, dès lors qu’il relève ensuite que le tableau démontre plutôt la présence d’une dépression persistante, laquelle se classait aussi sous trouble dépressif récurrent, soit le diagnostic retenu par l’experte judiciaire. En outre, le SMR conclut à la présence d’un trouble dépressif récurrent depuis 2014 (qu’il qualifie de moyen en 2014, de léger en 2017 et de moyen à sévère en 2023), diagnostic qui rejoint, sous réserve de l’appréciation de la gravité, celui posé par l’experte judiciaire. Ce grief doit donc être écarté.</w:t>
      </w:r>
    </w:p>
    <w:p>
      <w:r>
        <w:rPr>
          <w:b/>
        </w:rPr>
        <w:t>E. 8.2.2.2</w:t>
      </w:r>
    </w:p>
    <w:p>
      <w:r>
        <w:t>Le SMR conteste le caractère sévère du trouble dépressif récurrent, en se ralliant à l’appréciation du Dr L______. Or, le rapport d’expertise du Dr L______ n’est pas probant, au vu du rapport d’expertise judiciaire, lequel rejoint, au surplus, les appréciations du psychiatre traitant, le Dr I______, qui a suivi la recourante depuis 2013. En outre, l’expertise du Dr L______ présente des incohérences. D’abord entre la description d’une journée-type qui laisse apparaitre un niveau d’activité très pauvre et le diagnostic psychiatrique, qualifié de léger, qui est posé. Ensuite, le Dr L______ souligne, dans l’examen clinique du 1er décembre 2016, la présence de pensées suicidaires pour nier ensuite, dans l’analyse du trouble dépressif la présence d’idées suicidaires (expertise du Dr L______ pp. 13 et 18). Il nie enfin toute anhédonie et aboulie et décrit un investissement dans les relations avec son époux, ses enfants et petits-enfants, à nouveau sans cohérence avec la description d’une journée-type, laquelle fait état d’une absence de plaisir et de projet, le Dr L______ relevant même que la recourante préfère manger seule dans sa chambre et trainer dans le salon. Enfin, le SMR retient une amélioration de l’état de santé de la recourante entre 2014, moment où il estime que le trouble dépressif est moyen, et décembre 2016, moment où il estime qu’il est léger, sur la base de l’examen du Dr L______, sans expliquer cette évolution, qui n’est, en particulier, pas relevée par l’expert L______, puisque celui-ci souligne au contraire que depuis 2014, la symptomatologie anxio-dépressive n’est probablement pas incapacitante (expertise du Dr L______ p. 25).</w:t>
      </w:r>
    </w:p>
    <w:p>
      <w:r>
        <w:t>A/925/2021 - 15/18 - L’experte judiciaire a expliqué de façon étayée et convaincante que, depuis juillet 2013, la recourante était suivie par le Dr I______ en raison d’un trouble dépressif récurrent, avec un traitement médicamenteux, adapté à plusieurs reprises ; elle avait une réelle demande de soins et était investie dans ses différents traitements. Les plaintes avaient été objectivées par l’anamnèse et l’hétéroanamnèse auprès du mari, faites par le Dr I______ et par les médecins somaticiens ainsi que par les EPI. Les niveaux d’activité sociale et la vie quotidienne ne semblaient pas avoir évolué depuis 2013 selon l’anamnèse et l’hétéroanamnèse et les rapports du Dr I______ ; la symptomatologie correspondait à un tableau de dépression résistante aux traitements ; il y avait une continuité des difficultés dans le temps. L’expertise judiciaire retient ainsi une continuité de la symptomatologie depuis l’année 2013, avec plusieurs traitements testés et suivis depuis cette date, un niveau d’activité sociale et quotidienne pauvre depuis lors et une dépression étendue dans le temps, puisque résistante aux traitements. Ces constatations et analyses contredisent l’avis du SMR, selon lequel la recourante aurait présenté une symptomatologie dépressive moyenne en 2014, puis légère en décembre 2016, soit au moment de l’examen clinique du Dr L______, et ensuite une aggravation de son état de santé en 2023, au moment de l’examen clinique de l’experte judiciaire. En outre, l’appréciation du Dr L______ est d’autant moins convaincante que sa description d’une journée-type de la recourante correspond à celle qui est faite par l’experte judiciaire, dans le sens d’un niveau d’activité très pauvre, la recourante étant dans une large mesure assistée par son mari. Cette similitude est d’ailleurs relevée par le SMR dans son avis du 11 juillet 2023 et permet de conforter la présence, déjà plusieurs années auparavant, des diagnostics et limitations fonctionnelles constatés par l’experte judiciaire en avril 2023. Au surplus, l’experte judiciaire a critiqué de façon convaincante les conclusions de l’expertise du Dr L______, en relevant qu’il ne prenait pas en compte la récurrence des épisodes dépressifs depuis 2013. S’agissant de la sévérité du trouble dépressif récurrent, l’experte judiciaire a souligné que la recourante présentait trois symptômes typiques d’une atteinte sévère : humeur dépressive, diminution de l’intérêt et du plaisir et augmentation de la fatigabilité. Cela associé à cinq autres symptômes dépressifs (diminution de la concentration et de l’attention, diminution de l’estime de soi et de la confiance en soi, idées suicidaires, perturbation du sommeil et diminution de l’appétit). La recourante était incapable de poursuivre ses activités sociales, professionnelles et ménagères. Les épisodes actuels et passés avaient duré plus de deux semaines et avaient présenté cette même symptomatologie. Le SMR estime, dans son avis du 11 juillet 2023, que le trouble dépressif récurrent serait, depuis 2023, moyen à sévère, sans expliquer pourquoi il s’écarte de l’analyse de l’experte judiciaire. En outre, dans son avis subséquent du 14 septembre 2023, le SMR estime que le trouble dépressif est plutôt d’intensité moyenne que sévère, sans expliquer pourquoi il s’écarte de sa première</w:t>
      </w:r>
    </w:p>
    <w:p>
      <w:r>
        <w:t>A/925/2021 - 16/18 - appréciation. Par ailleurs, il souligne, pour écarter le caractère sévère du trouble, l’absence de tentative de suicide, d’hospitalisation en milieu psychiatrique et une prise en charge psychiatrique espacée tous les deux mois. À cet égard, l’experte judiciaire a relevé, parmi les huit symptômes décrits et nécessaires pour admettre le critère de trouble sévère, la présence notamment d’idées suicidaires, les pensées suicidaires étant d’ailleurs déjà signalées par le Dr L______ (expertise L______ p. 13). Or, les critères de la CIM-10 pour l’épisode dépressif sévère comprennent les pensées récurrentes de mort ou d’idées suicidaires récurrentes, sans que la présence de tentative de suicide - comme le retient le SMR - ne soit exigée (classification internationale des troubles mentaux et troubles du comportement, critère diagnostique pour la recherche CDM-10 - CIM-10, OMG Genève 2020, pp. 77-78). L’avis du SMR sur ce point n’est ainsi pas pertinent. En outre, s’agissant de l’absence d’hospitalisation en unité psychiatrique et la nécessité d’un suivi psychiatrique plus fréquent que bimensuel, ils ne font pas partie des critères pertinents permettant d’admettre ou d’exclure le caractère sévère d’un épisode dépressif. Enfin, l’experte judiciaire s’est ralliée à l’appréciation du Dr I______, émise depuis son suivi en 2013, de sorte qu’elle a pu attester - au vu de son examen clinique d’avril 2023, de la symptomatologie installée récurrente et des constatations cliniques du psychiatre traitant - que la capacité de travail de la recourante, qui était nulle au jour de son examen clinique, l’était aussi depuis début 2014. Il convient à cet égard de relever que le Dr I______ a attesté de façon constante d’un épisode dépressif majeur d’intensité sévère, puis d’une dépression récurrente sévère sans caractéristique psychotique, incapacitante depuis 2014 (avis des 28 avril 2014, 24 janvier 2020, 31 août 2021 et 11 mai 2022) et que le 4 juillet 2018, il a aussi précisé que les conclusions de l’expertise du Dr L______ ne représentaient pas l’état clinique qu’il avait lui-même constaté lors des consultations psychiatriques mensuelles de la recourante. Le grief du SMR doit ainsi être écarté.</w:t>
      </w:r>
    </w:p>
    <w:p>
      <w:r>
        <w:rPr>
          <w:b/>
        </w:rPr>
        <w:t>E. 8.2.2.3</w:t>
      </w:r>
    </w:p>
    <w:p>
      <w:r>
        <w:t>Le SMR reproche encore à l’experte judiciaire d’avoir retenu un diagnostic psychiatrique depuis 2013 mais une incapacité de travail totale seulement depuis 2014. À cet égard, l’experte a relevé que l’épisode dépressif était survenu en juillet 2013 ; on constate qu’elle a suivi l’appréciation du psychiatre traitant, lequel a lui- même estimé que la capacité de travail était totalement nulle depuis janvier 2014, soit six mois plus tard, et non pas auparavant. On ne saurait reprocher à l’experte judiciaire, laquelle doit évaluer rétrospectivement la capacité de travail de la recourante, de se rallier à l’appréciation du psychiatre traitant sur ce point, lequel a émis, en temps réel, des arrêts de travail et considéré que l’installation d’un</w:t>
      </w:r>
    </w:p>
    <w:p>
      <w:r>
        <w:t>A/925/2021 - 17/18 - trouble dépressif avait entrainé une incapacité de travail six mois après l’apparition des premiers symptômes. Ce grief doit être écarté.</w:t>
      </w:r>
    </w:p>
    <w:p>
      <w:r>
        <w:rPr>
          <w:b/>
        </w:rPr>
        <w:t>E. 8.3</w:t>
      </w:r>
    </w:p>
    <w:p>
      <w:r>
        <w:t>Au demeurant, il convient de suivre les conclusions de l’experte judiciaire, probantes, et de retenir une incapacité de travail totale de la recourante depuis janvier 2014. La recourante présente ainsi depuis janvier 2015 un degré d’invalidité total dans la sphère professionnelle, lequel, ramené à un statut d’active à un taux de 50%, est finalement de 50%. S’agissant des empêchements dans la sphère ménagère, l’enquête économique sur le ménage du 10 octobre 2018 ne peut être confirmée dès lors qu’elle se fonde, du point de vue psychique, sur un épisode dépressif léger non incapacitant. Or, au vu de l’expertise judiciaire, il convient de tenir compte d’un diagnostic psychiatrique totalement incapacitant depuis janvier 2014. Il convient en conséquence de renvoyer la cause à l’intimé afin qu’il ordonne une nouvelle enquête économique sur le ménage, tenant compte des diagnostics précités, et réévalue les empêchements de la recourante. 9. Au vu de ce qui précède, le recours sera partiellement admis, la décision litigieuse annulée et la cause renvoyée à l’intimé afin qu’il diligente une enquête économique sur le ménage, tenant compte du diagnostic totalement incapacitant depuis janvier 2014 tel qu’établi par l’expertise judiciaire. L’intimé procédera ensuite au calcul du degré d’invalidité de la recourante, dans une nouvelle décision. Pour le surplus, la recourante obtenant partiellement gain de cause, une indemnité de CHF 4'000.-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500.- (art. 69 al. 1bis LAI).</w:t>
      </w:r>
    </w:p>
    <w:p>
      <w:r>
        <w:t>A/925/2021 - 18/18 - PAR CES MOTIFS, LA CHAMBRE DES ASSURANCES SOCIALES : Statuant À la forme :</w:t>
      </w:r>
    </w:p>
    <w:p>
      <w:r>
        <w:rPr>
          <w:b/>
        </w:rPr>
        <w:t>E. 11</w:t>
      </w:r>
    </w:p>
    <w:p>
      <w:r>
        <w:t>juillet 2023. Or, les critiques émises par le SMR, lequel a complété son avis le</w:t>
      </w:r>
    </w:p>
    <w:p>
      <w:r>
        <w:rPr>
          <w:b/>
        </w:rPr>
        <w:t>E. 14</w:t>
      </w:r>
    </w:p>
    <w:p>
      <w:r>
        <w:t>septembre 2023, ne sont pas à même de mettre en doute les conclusions du rapport d’expertise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