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ATAS/789/2013 vom 20. August 2013</w:t>
      </w:r>
    </w:p>
    <w:p>
      <w:r>
        <w:t>GE Cour de justice, 2013-08-20, FR</w:t>
      </w:r>
    </w:p>
    <w:p>
      <w:r>
        <w:rPr>
          <w:b/>
        </w:rPr>
        <w:t xml:space="preserve">Quelle: </w:t>
      </w:r>
      <w:r>
        <w:t>https://mcp.opencaselaw.ch/entscheid/ge_gerichte_ATAS_789_2013</w:t>
      </w:r>
    </w:p>
    <w:p>
      <w:r>
        <w:t>FR: GE_GERICHTE ATAS/789/2013 du 20 août 2013</w:t>
      </w:r>
    </w:p>
    <w:p>
      <w:r>
        <w:t>IT: GE_GERICHTE ATAS/789/2013 del 20 agosto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ainsi que la LAI dans sa teneur en vigueur dès le 1er janvier 2008, la décision litigieuse datant de 2011, et l'aggravation de l'état de santé alléguée ayant débuté le 28 mai 2008.</w:t>
      </w:r>
    </w:p>
    <w:p>
      <w:r>
        <w:rPr>
          <w:b/>
        </w:rPr>
        <w:t>E. 3</w:t>
      </w:r>
    </w:p>
    <w:p>
      <w:r>
        <w:t>Le délai de recours est de 30 jours (art. 60 al. 1 LPGA). Déposé dans les forme et délai prévus par la loi, le présent recours est recevable (art. 39 al. 1 et 60 al. 2 LPGA)</w:t>
      </w:r>
    </w:p>
    <w:p>
      <w:r>
        <w:rPr>
          <w:b/>
        </w:rPr>
        <w:t>E. 4</w:t>
      </w:r>
    </w:p>
    <w:p>
      <w:r>
        <w:t>Le litige porte sur le droit du recourant à une rente d'invalidité, singulièrement sur l'aggravation de son état de santé depuis la décision de l'intimé du 10 octobre 2006 et sur le taux de sa capacité de travail dans une activité adaptée.</w:t>
      </w:r>
    </w:p>
    <w:p>
      <w:r>
        <w:rPr>
          <w:b/>
        </w:rPr>
        <w:t>E. 5</w:t>
      </w:r>
    </w:p>
    <w:p>
      <w:r>
        <w:t>a) Lorsqu'une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 RAI ;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ATF 117 V 200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Aussi,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w:t>
      </w:r>
    </w:p>
    <w:p>
      <w:r>
        <w:t>A/330/2013 - 11/22 - l'administration est entrée en matière sur la nouvelle demande (ATF 109 V 108, consid 2b). Quand, au contraire, elle entre en matière sur une nouvelle demande,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pour déterminer si une modification notable du taux d'invalidité justifiant la révision du droit en question est intervenue (ATF 133 V 108).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w:t>
      </w:r>
    </w:p>
    <w:p>
      <w:r>
        <w:t>A/330/2013 - 12/22 - c) Le Tribunal fédéral a confirmé qu'une administration ne saurait limiter son examen à la question de savoir si un changement important susceptible d'influencer le degré d'invalidité s'est produit, lorsqu'elle entre en matière sur une nouvelle demande au sens de l'art. 87 al. 3 et 4 RAI. En effet, dès lors que l'office AI se saisit du fond d'une nouvelle demande, il doit en instruire tous les aspects (médicaux et juridiques, notamment) et déterminer si la modification de l'invalidité s'était effectivement produite (ATF 117 V 198 consid. 4b p. 200 ; ULRICH MEYER, Bundesgesetz über die Invalidenversicherung, 2e éd., p. 399), comme s'il se prononçait pour la première fois sur le droit aux prestations.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A/330/2013 - 13/22 -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A/330/2013 - 14/22 -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 Les constatations médicales peuvent être complétées par des renseignements d’ordre professionnel, par exemple au terme d'un stage dans un centre d'observation professionnelle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w:t>
      </w:r>
    </w:p>
    <w:p>
      <w:r>
        <w:t>A/330/2013 - 15/22 -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La cause devra être renvoyée à l'OAI afin qu'il ordonne une instruction médicale complémentaire visant à déterminer la capacité de travail de l'assuré du 1er novembre 2006 au 1er janvier 2008 et au-delà du 31 août 2010, en mandatant la Dresse B__________ et le Dr E__________, afin de répondre aux questions qui n'ont pas été résolues. Toutefois, la Cour de céans est en mesure de statuer sur le droit à la rente pour la période intermédiaire.</w:t>
      </w:r>
    </w:p>
    <w:p>
      <w:r>
        <w:rPr>
          <w:b/>
        </w:rPr>
        <w:t>E. 11</w:t>
      </w:r>
    </w:p>
    <w:p>
      <w:r>
        <w:t>a) Les salaires de référence retenus par l'OAI pour calculer le taux d'invalidité ne sont à juste titre pas critiqués par l'assuré. A la différence du calcul effectué en mai 2006, sur la base du salaire de chauffeur qualifié, qui n'a plus été une activité adaptée de fin 2006 à fin 2008, l'OAI s'est correctement fondé sur les ESS "total". Il convient de procéder aux calculs selon les périodes déterminantes, sur la base des chiffres retenus (salaire d'invalide : 59'979 fr. et salaire sans invalidité : 70'085 fr.). Lorsque la capacité est de 100%: il convient de retenir un abattement de 15% en raison de l'âge de l'assuré (51 ans en 2008), de la longue période de travail dans le bâtiment (21 ans), et de l'activité légère seule possible, abattement augmenté à 20% pour le temps partiel lorsque la capacité est de 50%, le critère du permis de séjour n'étant pas rempli. b) A l'échéance du délai de carence au 1er novembre 2007, la capacité de travail n'est pas déterminée, mais elle est nulle dans toute activité dès le 1er janvier 2008. Le taux d'invalidité est alors de 100%. Il ouvre un droit à une rente entière trois mois plus tard, le 1er avril 2008. Sous l'ancien droit en vigueur au 31 décembre 2007, le droit aux prestations s'ouvre à l'échéance du délai de carence d'un an, n'est pas soumis au délai de 6 mois dès le dépôt de la demande et peut même rétroagir</w:t>
      </w:r>
    </w:p>
    <w:p>
      <w:r>
        <w:rPr>
          <w:b/>
        </w:rPr>
        <w:t>E. 12</w:t>
      </w:r>
    </w:p>
    <w:p>
      <w:r>
        <w:t>Ainsi, le recours est partiellement admis et la décision est annulée dans la mesure de ce qui précède. La cause est renvoyée à l'OAI pour instruction complémentaire dans le sens des considérants. Au surplus, c'est à juste titre que l'OAI a refusé d'autres mesures professionnelles à l'assuré qui a démontré qu'il ne souhaitait plus en bénéficier, quelle que soit sa capacité de travail résiduelle. L'assuré obtenant partiellement gain de cause, il peut prétendre à une indemnité de procédure fixée à 2'000 fr. en tenant compte du nombre d'écritures, de leur brièveté et de la pertinence de certains arguments seulement. L'émolument est à la charge de l'intimé.</w:t>
      </w:r>
    </w:p>
    <w:p>
      <w:r>
        <w:t>A/330/2013 - 22/22 -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