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ATAS/789/2012 vom 12. Juni 2012</w:t>
      </w:r>
    </w:p>
    <w:p>
      <w:r>
        <w:t>GE Cour de justice, 2012-06-12, FR</w:t>
      </w:r>
    </w:p>
    <w:p>
      <w:r>
        <w:rPr>
          <w:b/>
        </w:rPr>
        <w:t xml:space="preserve">Quelle: </w:t>
      </w:r>
      <w:r>
        <w:t>https://mcp.opencaselaw.ch/entscheid/ge_gerichte_ATAS_789_2012</w:t>
      </w:r>
    </w:p>
    <w:p>
      <w:r>
        <w:t>FR: GE_GERICHTE ATAS/789/2012 du 12 juin 2012</w:t>
      </w:r>
    </w:p>
    <w:p>
      <w:r>
        <w:t>IT: GE_GERICHTE ATAS/789/2012 del 12 giugno 2012</w:t>
      </w:r>
    </w:p>
    <w:p>
      <w:pPr>
        <w:pStyle w:val="Heading2"/>
      </w:pPr>
      <w:r>
        <w:t>Regeste</w:t>
      </w:r>
    </w:p>
    <w:p>
      <w:r>
        <w:t>Résumé: Conformément aux directives concernant les prestations complémentaires (n° 3390.02), lorsque le bénéficiaire entre dans un home, suite à une hospitalisation, et qu'un retour à la maison n'est plus possible, les frais de loyer et les frais accessoires y relatifs sont, durant le délai de résiliation, pris en compte comme dépenses supplémentaires, mais pour trois mois au plus dès le mois d'entrée en EMS.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légaux, le recours est recevable (art. 56 al. 1 et 60 LPGA).</w:t>
      </w:r>
    </w:p>
    <w:p>
      <w:r>
        <w:rPr>
          <w:b/>
        </w:rPr>
        <w:t>E. 3</w:t>
      </w:r>
    </w:p>
    <w:p>
      <w:r>
        <w:t>Le litige porte sur la prise en charge par le SPC, au titre de dépenses reconnues, des loyers des mois d'avril à juin 2012.</w:t>
      </w:r>
    </w:p>
    <w:p>
      <w:r>
        <w:rPr>
          <w:b/>
        </w:rPr>
        <w:t>E. 4</w:t>
      </w:r>
    </w:p>
    <w:p>
      <w:r>
        <w:t>Conformément à l'art. 4 al. 1 let. c LPC, les ressortissants suisses, qui ont leur domicile et leur résidence habituelle en Suisse et bénéficient d’une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Aux termes de l'art. 10 LPC, "Pour les personnes qui ne vivent pas en permanence ni pour une longue période dans un home ou dans un hôpital (personnes vivant à domicile), les dépenses reconnues comprennent: a. les montants destinés à la couverture des besoins vitaux, soit, par année: 1. 18'140 francs pour les personnes seules, 2. 27'210 francs pour les couples, 3.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w:t>
      </w:r>
    </w:p>
    <w:p>
      <w:r>
        <w:t>A/1166/2012 - 4/8 - b. le loyer d’un appartement et les frais accessoires y relatifs; en cas de présentation d’un décompte final des frais accessoires, ni demande de restitution, ni paiement rétroactif ne peuvent être pris en considération; le montant annuel maximal reconnu est de: 1. 13'200 francs pour les personnes seules, 2. 15'000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Pour les personnes qui vivent en permanence ou pour une longue période dans un home ou dans un hôpital (personnes vivant dans un home ou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Sont en outre reconnus comme dépenses, pour toutes les personnes: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 L'art. 11 LPC précise que "Les revenus déterminants comprennent :</w:t>
      </w:r>
    </w:p>
    <w:p>
      <w:r>
        <w:t>A/1166/2012 - 5/8 -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En dérogation à l’art. 1, let. c, seule la valeur de l’immeuble supérieure à 300 000 francs entre en considération au titre de la fortune lorsque l’une des conditions suivantes est remplie: a. un couple possède un immeuble qui sert d’habitation à l’un des conjoints tandis que l’autre vit dans un home ou dans un hôpital; b. le bénéficiaire d’une allocation pour impotent de l’AVS, de l’AI, de l’assurance-accident ou de l’assurance militaire vit dans un immeuble lui appartenant ou appartenant à son conjoint. Pour les personnes vivant dans un home ou dans un hôpital, les cantons peuvent fixer le montant de la fortune qui sera pris en compte en dérogeant à l’al. 1, let. c. Les cantons sont autorisés à augmenter, jusqu’à concurrence d’un cinquième, ce montant.</w:t>
      </w:r>
    </w:p>
    <w:p>
      <w:r>
        <w:t>A/1166/2012 - 6/8 - Ne sont pas pris en compte : a. les aliments fournis par les proches en vertu des art. 328 à 330 du code civil; b. les prestations d’aide sociale; c. les prestations provenant de personnes et d’institutions publiques ou privées ayant un caractère d’assistance manifeste; d. les allocations pour impotents des assurances sociales; e. les bourses d’études et autres aides financières destinées à l’instruction; f. la contribution d’assistance versée par l’AVS ou par l’AI. Le Conseil fédéral détermine les cas dans lesquels les allocations pour impotents des assurances sociales doivent être prises en compte dans les revenus déterminants.</w:t>
      </w:r>
    </w:p>
    <w:p>
      <w:r>
        <w:rPr>
          <w:b/>
        </w:rPr>
        <w:t>E. 5</w:t>
      </w:r>
    </w:p>
    <w:p>
      <w:r>
        <w:t>Selon les directives de l'Office fédéral des assurances sociales concernant les prestations complémentaires (DPC), nos 3390.01 et 3390.02 "Tant et aussi longtemps qu’un retour à la maison est encore possible et qu’il y a maintien simultané de l’appartement, les frais de loyer et les frais accessoires y relatifs sont pris en compte comme dépenses supplémentaires au sens des dispositions du chapitre 3.2.3 durant une année au maximum. Lorsqu’un retour à la maison n’est plus possible, les frais de loyer et les frais accessoires y relatifs sont, durant le délai de résiliation, pris en compte comme dépenses supplémentaires au sens des dispositions du chapitre 3.2.3, mais pour trois mois au plus à compter du changement en faveur du calcul «home»."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(no 3152.01 DPC).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(no 3152.02 DPC).</w:t>
      </w:r>
    </w:p>
    <w:p>
      <w:r>
        <w:rPr>
          <w:b/>
        </w:rPr>
        <w:t>E. 6</w:t>
      </w:r>
    </w:p>
    <w:p>
      <w:r>
        <w:t>En l'espèce, l'assurée a été hospitalisée en gériatrie le 16 janvier 2012. Contrairement à ce qu'avait retenu le SPC lorsqu'il a rendu la décision du 15 mars</w:t>
      </w:r>
    </w:p>
    <w:p>
      <w:r>
        <w:t>A/1166/2012 - 7/8 - 2012, l'assurée a été directement transférée des HUG à l'EMS X_________ le 8 mars 2012. Sa fille a à cet égard expliqué qu'elle n'avait appris que début mars 2012 qu'une place se libérait dans cet établissement. Si tel n'avait pu être le cas, l'assurée aurait été transférée à l'Hôpital de Loëx en attendant.</w:t>
      </w:r>
    </w:p>
    <w:p>
      <w:r>
        <w:rPr>
          <w:b/>
        </w:rPr>
        <w:t>E. 7</w:t>
      </w:r>
    </w:p>
    <w:p>
      <w:r>
        <w:t>Le SPC a considéré l'assurée comme une personne vivant à domicile jusqu'au 8 mars 2012, de sorte que les directives 2 traitant des hypothèses de retour à la maison et de non retour à la maison ne s'appliquaient pas. Il a ainsi refusé de prendre en compte les loyers des mois de mars à juin 2012.</w:t>
      </w:r>
    </w:p>
    <w:p>
      <w:r>
        <w:rPr>
          <w:b/>
        </w:rPr>
        <w:t>E. 8</w:t>
      </w:r>
    </w:p>
    <w:p>
      <w:r>
        <w:t>Il y a lieu de constater que le SPC s'est fondé sur le fait qu'une personne hospitalisée pour un temps déterminé garde en principe son domicile. On ignore en réalité s'il était envisagé, au moment où l'assurée a été hospitalisée, qu'elle revienne dans son appartement. Dans l'affirmative, le n° _________ aurait permis de prendre en compte les frais de loyer durant une année au maximum. La question peut cependant rester ouverte dans la mesure où on peut sans aucun doute admettre que lorsque l'assurée entre à la Résidence X__________, elle ne retournera plus vivre dans son appartement. C'est du reste à ce moment-là que sa fille en résilie le contrat de bail. Les frais de loyer doivent être dès lors pris en considération par le SPC durant 3 mois au plus, conformément au n° ________. Ces trois mois se comptent à partir du changement en faveur du calcul "home", soit dès le mois d'entrée en EMS. Ayant quitté les HUG pour la Résidence X________ en mars 2012, les loyers d'avril à juin peuvent être retenus. Aussi le recours est-il admis et la Cour renvoie la cause au SPC pour nouvelle décision.</w:t>
      </w:r>
    </w:p>
    <w:p>
      <w:r>
        <w:t>A/1166/2012 - 8/8 - PAR CES MOTIFS, LA CHAMBRE DES ASSURANCES SOCIALES : Statuant A la forme : 1. Déclare le recours recevable. Au fond : 2. L'admet et renvoie la cause au SPC pour nouvelle décision.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