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ATAS/788/2024 vom 14. Oktober 2024</w:t>
      </w:r>
    </w:p>
    <w:p>
      <w:r>
        <w:t>GE Cour de justice, 2024-10-14, FR</w:t>
      </w:r>
    </w:p>
    <w:p>
      <w:r>
        <w:rPr>
          <w:b/>
        </w:rPr>
        <w:t xml:space="preserve">Quelle: </w:t>
      </w:r>
      <w:r>
        <w:t>https://mcp.opencaselaw.ch/entscheid/ge_gerichte_ATAS_788_2024</w:t>
      </w:r>
    </w:p>
    <w:p>
      <w:r>
        <w:t>FR: GE_GERICHTE ATAS/788/2024 du 14 octobre 2024</w:t>
      </w:r>
    </w:p>
    <w:p>
      <w:r>
        <w:t>IT: GE_GERICHTE ATAS/788/2024 del 14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du recourant à une rente d’invalidité, singulièrement sur l’évaluation de sa capacité de travail.</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w:t>
      </w:r>
    </w:p>
    <w:p>
      <w:r>
        <w:t>A/2930/2023 - 8/15 -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la décision querellée a certes été rendue postérieurement au 1er janvier 2022. Toutefois, la demande de prestations ayant été déposée en février 2019 et le délai d’attente d’une année venant à échéance en mai 2019, un éventuel droit à une rente d’invalidité naîtrait antérieurement au 1er janvier 2022 (art. 28 al. 1 let. b et 29 al. 1 LAI), de sorte que les dispositions applicables seront citées dans leur teneur en vigueur jusqu’au 31 décembre 2021.</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 arrêt du Tribunal fédéral 9C_542/2011 du 26 janvier 2012 consid. 4.1). De tels rapports ne sont cependant</w:t>
      </w:r>
    </w:p>
    <w:p>
      <w:r>
        <w:t>A/2930/2023 - 10/15 -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w:t>
      </w:r>
    </w:p>
    <w:p>
      <w:r>
        <w:t>A/2930/2023 - 11/15 -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3.4.1</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w:t>
      </w:r>
    </w:p>
    <w:p>
      <w:r>
        <w:rPr>
          <w:b/>
        </w:rPr>
        <w:t>E. 3.4.2</w:t>
      </w:r>
    </w:p>
    <w:p>
      <w:r>
        <w:t>En cas d’absence de désignation des activités compatibles avec les limitations du recourant, le Tribunal fédéral a jugé que l'office AI aurait pu donner au recourant, à titre d'information, des exemples d'activités adaptées qu'il peut encore exercer, mais qu’il convenait néanmoins d'admettre que le marché du travail offre un éventail suffisamment large d'activités légères, dont on doit convenir qu'un nombre significatif sont adaptées aux limitations du recourant et</w:t>
      </w:r>
    </w:p>
    <w:p>
      <w:r>
        <w:t>A/2930/2023 - 12/15 - accessibles sans aucune formation particulière (arrêt du Tribunal fédéral 9C_279/2008 du 16 décembre 2008 consid. 4).</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4</w:t>
      </w:r>
    </w:p>
    <w:p>
      <w:r>
        <w:t>En l’espèce, l’intimé, dans la décision litigieuse, dit se fonder sur l’expertise du G______ du 27 mars 2023 (volets de médecine interne et orthopédique). Cependant, il retient une capacité de travail nulle du recourant dans toute activité du 1er octobre 2018 au 31 août 2019 et de 100% dans une activité adaptée dès le 1er septembre 2019, alors que l’expertise du G______, dont le SMR a estimé, le 5 avril 2023, qu’elle était probante, conclut à une capacité de travail du recourant dès le 20 mai 2018 nulle dans l’activité habituelle et de 100% dans une activité adaptée aux limitations fonctionnelles. Il convient en conséquence de corriger les dates d’incapacités de travail mentionnées par l’intimé dans la décision litigieuse, dans le sens de celles admises par l’expertise du G______. Quant au recourant, il conteste une capacité de travail totale dans une activité adaptée et sollicite une expertise judiciaire rhumatologique et psychiatrique, étant relevé que lors de l’audience de comparution personnelle du 27 mai 2024, il a renoncé à requérir une expertise judiciaire hépatique et gastroentérologique.</w:t>
      </w:r>
    </w:p>
    <w:p>
      <w:r>
        <w:rPr>
          <w:b/>
        </w:rPr>
        <w:t>E. 4.1</w:t>
      </w:r>
    </w:p>
    <w:p>
      <w:r>
        <w:t>Le rapport d’expertise bidisciplinaire du G ______, de chirurgie orthopédique et de médecine interne générale, du 27 mars 2023, prend en compte l’entier du dossier médical du recourant, contient une anamnèse complète, la description des plaintes du recourant, pose des diagnostics et limitations fonctionnelles clairs et comprend des conclusions motivées et convaincantes de la capacité de travail du recourant, suite à une évaluation consensuelle des experts, de sorte qu’il répond aux réquisits jurisprudentiels précités pour qu’il lui soit reconnu une pleine valeur probante. Les experts ont retenu une capacité de travail du recourant nulle dans son activité habituelle (garçon d’office) et de 100% dans une activité adaptée aux limitations fonctionnelles, depuis le 20 mai 2018.</w:t>
      </w:r>
    </w:p>
    <w:p>
      <w:r>
        <w:rPr>
          <w:b/>
        </w:rPr>
        <w:t>E. 4.1.1</w:t>
      </w:r>
    </w:p>
    <w:p>
      <w:r>
        <w:t>Le recourant conteste les conclusions de l’expertise orthopédique quant à sa capacité de travail, en relevant qu’elles ne tiennent pas compte des interventions</w:t>
      </w:r>
    </w:p>
    <w:p>
      <w:r>
        <w:t>A/2930/2023 - 13/15 - chirurgicales prévues à son poignet et à son épaule (procès-verbal de l’audience de comparution personnelle du 27 mai 2024). À cet égard, la chambre de céans a requis des informations complémentaires auprès des Drs K______ et L______. Le Dr K______ a précisé, le 25 juin 2024, que le diagnostic était celui de décompensation arthrosique au niveau médiocarpien et radiocarpien du poignet droit et confirmé les limitations fonctionnelles et la capacité de travail retenues par l’expert I______. Cet avis ne contient pas de critiques ou d’élément objectif permettant de mettre en doute les conclusions de l’expertise du Dr I______. Il en est de même de l’avis du Dr L______, du 1er juillet 2024, lequel retient une omarthrose, en précisant qu’il n’a pas de limitations fonctionnelles à ajouter. Quant au rapport du Dr E______, il se borne à attester d’une incapacité de travail totale du recourant, sans l’étayer (avis du 19 août 2024). Comme relevé par l’intimé, si le recourant devait subir des interventions chirurgicales, elles seraient postérieures à la décision litigieuse et ne peuvent en conséquence être prises en compte, le recourant pouvant, s’il l’estime justifié, déposer une nouvelle demande de prestations. En effet,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Dans ces conditions, l’expertise du Dr I______ ne peut qu’être suivie, étant relevé que celle de la Dre J______ n’est pas spécifiquement contestée.</w:t>
      </w:r>
    </w:p>
    <w:p>
      <w:r>
        <w:rPr>
          <w:b/>
        </w:rPr>
        <w:t>E. 4.1.2</w:t>
      </w:r>
    </w:p>
    <w:p>
      <w:r>
        <w:t>Le recourant estime par ailleurs qu’une expertise judiciaire rhumatologique et psychiatrique est nécessaire. À cet égard, l’intimé a mandaté le G ______ pour réaliser une expertise pluridisciplinaire, comprenant également les volets rhumatologique et psychiatrique, qu’il a jugé utile d’investiguer. Il n’appartient cependant pas à la chambre de céans d’effectuer l’instruction médicale requise, en l’absence de toute instruction de la part de l’intimé, ce d’autant qu’un défaut de collaboration peut être retenu à l’encontre du recourant. En effet, à teneur de l’art. 43 LPGA, l’assureur examine les demandes, prend d’office les mesures d’instruction nécessaires et recueille les renseignements dont il a besoin. Les renseignements donnés oralement doivent être consignés par écrit (al. 1) ; il détermine la nature et l’étendue de l’instruction nécessaire (al. 1bis) ; l’assuré doit se soumettre à des examens médicaux ou techniques si ceux-ci sont nécessaires à l’appréciation du cas et qu’ils peuvent être raisonnablement exigés (al. 2) ; si l’assuré ou d’autres requérants refusent de manière inexcusable de se conformer à leur obligation de renseigner ou de collaborer à l’instruction,</w:t>
      </w:r>
    </w:p>
    <w:p>
      <w:r>
        <w:t>A/2930/2023 - 14/15 - l’assureur peut se prononcer en l’état du dossier ou clore l’instruction et décider de ne pas entrer en matière. Il doit leur avoir adressé une mise en demeure écrite les avertissant des conséquences juridiques et leur impartissant un délai de réflexion convenable (al. 3). Or, par sommation du 22 décembre 2022, l’OAI a enjoint le recourant à contacter le G______ d’ici au 9 janvier 2023 afin de se soumettre aux expertises rhumatologique et psychiatrique, lesquelles étaient indispensables, faute de quoi il statuerait en l’état du dossier. Ce faisant, il a respecté la procédure prévue à l’art. 43 al. 3 LPGA. Le recourant a invoqué une impossibilité de se rendre dans le canton de Fribourg, alors même qu’il avait pu faire ce déplacement pour se soumettre aux expertises qu’il jugeait utiles (soit les volets orthopédique et de médecine interne) et sans étayer ses propos au moyen d’un rapport médical probant. En effet, l’attestation du Dr E______ du 16 janvier 2023, qui se limite à mentionner que le recourant devrait, dans la limite du possible, bénéficier d’une expertise à Genève, n’est pas motivée et n’exclut pas tout déplacement du recourant. Dans ces conditions, l’intimé pouvait statuer en l’état du dossier. Au vu de ce qui précède, l’intimé, sur la base de l’expertise bidisciplinaire du G______, pouvait retenir une capacité de travail de 100% du recourant dans une activité adaptée à ses limitations fonctionnelles dès le 20 mai 2018. Quant à l’âge du recourant, 58 ans au jour de la décision litigieuse, il ne peut être considéré, au vu de la jurisprudence du Tribunal fédéral précitée, comme étant un âge proche de celui de la retraite, qui justifierait de renoncer à toute activité exigible de la part du recourant (arrêt du Tribunal fédéral 9C_755/2023 du 20 février 2024).</w:t>
      </w:r>
    </w:p>
    <w:p>
      <w:r>
        <w:rPr>
          <w:b/>
        </w:rPr>
        <w:t>E. 4.1.3</w:t>
      </w:r>
    </w:p>
    <w:p>
      <w:r>
        <w:t>Le degré d’invalidité fixé à 15% par l’intimé en 2019, soit à l’issue du délai de carence d’une année, tient compte d’une capacité de travail totale du recourant dans une activité adaptée à ses limitations fonctionnelles, ce qui correspond aux conclusions précitées de l’expertise du G______. Ce taux de 15%, qui n’est pas spécifiquement contesté par le recourant, est insuffisant pour ouvrir le droit à une rente d’invalidité. Ce taux ne donne pas droit non plus à une mesure de reclassement (ATF 139 V 399). Par ailleurs, il convient d’admettre qu’il existe sur le marché du travail un éventail suffisamment large d’activités légères compatibles avec les limitations fonctionnelles du recourant et accessibles sans aucune formation particulière (arrêt du Tribunal fédéral 9C_279/2008 du 16 décembre 2008), de sorte qu’une autre mesure d’ordre professionnel ne se justifie pas non plus.</w:t>
      </w:r>
    </w:p>
    <w:p>
      <w:r>
        <w:rPr>
          <w:b/>
        </w:rPr>
        <w:t>E. 5</w:t>
      </w:r>
    </w:p>
    <w:p>
      <w:r>
        <w:t>Partant, le recours ne peut qu’être rejeté. Au vu du sort du recours, il y a lieu de condamner le recourant au paiement d'un émolument de CHF 200.- (art. 69 al. 1 bis LAI).</w:t>
      </w:r>
    </w:p>
    <w:p>
      <w:r>
        <w:t>A/2930/2023 - 15/15 -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