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ATAS/787/2019 vom 3. September 2019</w:t>
      </w:r>
    </w:p>
    <w:p>
      <w:r>
        <w:t>GE Cour de justice, 2019-09-03, FR</w:t>
      </w:r>
    </w:p>
    <w:p>
      <w:r>
        <w:rPr>
          <w:b/>
        </w:rPr>
        <w:t xml:space="preserve">Quelle: </w:t>
      </w:r>
      <w:r>
        <w:t>https://mcp.opencaselaw.ch/entscheid/ge_gerichte_ATAS_787_2019</w:t>
      </w:r>
    </w:p>
    <w:p>
      <w:r>
        <w:t>FR: GE_GERICHTE ATAS/787/2019 du 3 septembre 2019</w:t>
      </w:r>
    </w:p>
    <w:p>
      <w:r>
        <w:t>IT: GE_GERICHTE ATAS/787/2019 del 3 settembre 2019</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la suspension de sept jours du droit à l'indemnité du recourant.</w:t>
      </w:r>
    </w:p>
    <w:p>
      <w:r>
        <w:rPr>
          <w:b/>
        </w:rPr>
        <w:t>E. 4</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Son obligation de rechercher un emploi prend naissance déjà avant la survenance effective du chômage, dès que le moment de son inscription à l'assurance est prévisible et relativement proche, en tout état durant le délai de congé dès la signification de ce dernier, et ses efforts en vue de trouver un emploi doivent s'intensifier à mesure que le chômage devient imminent (art. 20 al. 1 let. d de l'ordonnance sur l’assurance-chômage obligatoire et l’indemnité en cas d’insolvabilité du 31 août 1983 [ordonnance sur l’assurance-chômage, OACI – RS 837.02] ; arrêt du Tribunal fédéral 8C_800/2008 du 8 avril 2009 consid. 2.1). En règle générale, l’assuré doit accepter immédiatement tout travail en vue de diminuer le dommage (art. 16 al. 1 LACI).</w:t>
      </w:r>
    </w:p>
    <w:p>
      <w:r>
        <w:rPr>
          <w:b/>
        </w:rPr>
        <w:t>E. 5</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w:t>
      </w:r>
    </w:p>
    <w:p>
      <w:r>
        <w:t>A/1051/2019 - 4/7 - compromet ou empêche, par son comportement, le déroulement de la mesure ou la réalisation de son but (let. d).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b. En tant qu'autorité de surveillance, le Secrétariat d’État à l’économie (ci-après : SECO) a adopté un barème indicatif à l'intention de l'autorité cantonale et des ORP (Bulletin LACI/IC n° 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notamment des circonstances personnelles, en particulier celles qui ont trait au comportement de l’intéressé au regard de ses devoirs généraux d’assuré qui fait valoir son droit à des prestations (arrêts du Tribunal fédéral 8C_425/2014 du 12 août 2014 consid. 5.1 ; 8C 763/2017 du 30 octobre 2018). Il résulte du barème précité que lorsque l’assuré n’observe pas les instructions de l’OCE, l’autorité doit infliger une sanction de trois à dix jours lors du premier manquement et de dix jours au minimum lors du second manquement, un renvoi pour décision à l’autorité cantonale étant prévu en cas de troisième manquement (Bulletin LACI/IC n° D79 ch. 3B). c. Lorsqu'il y a concours de motifs de suspension différents ou du même type, il y a lieu de prononcer une suspension du droit à l'indemnité pour chaque état de fait. La suspension vise un but dissuasif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Une unique décision de suspension ne sera prononcée qu'exceptionnellement, lorsque l'assuré réalise plusieurs fois les motifs de suspension, et que ses manquements particuliers peuvent être considérés sous l'angle d'une unité d'action dans les faits et dans le temps (Bulletin LACI/IC n° D10).</w:t>
      </w:r>
    </w:p>
    <w:p>
      <w:r>
        <w:rPr>
          <w:b/>
        </w:rPr>
        <w:t>E. 6</w:t>
      </w:r>
    </w:p>
    <w:p>
      <w:r>
        <w:t>La quotité de la suspension du droit à l'indemnité de chômage dans un cas concret constitue une question relevant du pouvoir d'appréciation (arrêt du Tribunal fédéral 8C_194/2013 du 26 septembre 2013 consid. 5.2). Le pouvoir d’examen de la</w:t>
      </w:r>
    </w:p>
    <w:p>
      <w:r>
        <w:t>A/1051/2019 - 5/7 -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7</w:t>
      </w:r>
    </w:p>
    <w:p>
      <w:r>
        <w:t>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n. 17 ad art. 30).</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le recourant n’a pas transmis ses dossiers de candidature à B______ SA et à la Banque C______ Cie SA dans les délais impartis à cet effet dans les courriers d’assignation, mais seulement deux jours plus tard, soit le 21 octobre 2018. Ce faisant, le recourant n’a pas respecté les instructions de l’intimé. Contrairement à ce que soutient le recourant, l’intimé n’a pas violé le principe de proportionnalité en prononçant une suspension en lieu et place d’un avertissement. En effet, dans la mesure où il ne s’agissait pas d’une absence isolée à un entretien à l’ORP, il n'y avait pas de place pour un avertissement. Le fait que les assignations ont été communiquées au recourant alors que l’intéressé ne remplissait pas encore toutes les conditions relatives à l’ouverture d’un délai-cadre d’indemnisation ne joue pas non plus de rôle. Comme l’a relevé l’intimé, le dies a quo de la suspension a été fixé au moment où toutes les conditions du droit à l'indemnité de chômage étaient</w:t>
      </w:r>
    </w:p>
    <w:p>
      <w:r>
        <w:t>A/1051/2019 - 6/7 - remplies, étant précisé que l’obligation de rechercher un emploi prend naissance déjà avant la survenance effective du chômage (cf. ATAS/1035/2014 du 30 septembre 2014 consid. 6). Le principe d’une suspension du droit à l’indemnité ne peut ainsi qu'être confirmé. Le non-respect du délai pour donner suite aux deux assignations considérées a procédé en l’espèce d’une seule et même volonté, si bien qu’il était justifié de ne prononcer qu’une sanction unique pour les deux manquements considérés, formant une unité d’action dans les faits et dans le temps, en appréciant la faute du recourant dans son ensemble. Compte tenu d’un double manquement concomitant procédant d’une même et unique perception de la situation, l’intimé était fondé à prononcer une suspension pour une durée supérieure au minimum prévu par ce barème. Néanmoins, compte tenu des circonstances, soit le léger retard de deux jours tombant sur le week-end, l’avertissement préalable du retard dans le délai imparti selon les courriers d’assignation et l’absence de suspension antérieure, la chambre de céans est d’avis qu’il se justifie de réduire la durée de la sanction à cinq jours. En ce sens, le recours est partiellement admis. Le recourant n'étant pas représenté, il n'a pas droit à des dépens (art. 61 let. g LPGA). Pour le surplus, la procédure est gratuite. * * * * * *</w:t>
      </w:r>
    </w:p>
    <w:p>
      <w:r>
        <w:t>A/1051/2019 - 7/7 -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